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drawings/drawing14.xml" ContentType="application/vnd.openxmlformats-officedocument.drawingml.chartshapes+xml"/>
  <Override PartName="/word/charts/chart27.xml" ContentType="application/vnd.openxmlformats-officedocument.drawingml.chart+xml"/>
  <Override PartName="/word/drawings/drawing15.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drawings/drawing12.xml" ContentType="application/vnd.openxmlformats-officedocument.drawingml.chartshapes+xml"/>
  <Override PartName="/word/charts/chart25.xml" ContentType="application/vnd.openxmlformats-officedocument.drawingml.chart+xml"/>
  <Override PartName="/word/drawings/drawing13.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drawings/drawing10.xml" ContentType="application/vnd.openxmlformats-officedocument.drawingml.chartshapes+xml"/>
  <Override PartName="/word/charts/chart23.xml" ContentType="application/vnd.openxmlformats-officedocument.drawingml.chart+xml"/>
  <Override PartName="/word/drawings/drawing1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drawings/drawing9.xml" ContentType="application/vnd.openxmlformats-officedocument.drawingml.chartshapes+xml"/>
  <Default Extension="jpeg" ContentType="image/jpeg"/>
  <Override PartName="/word/drawings/drawing7.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264" w:rsidRDefault="007F0117" w:rsidP="00625C75">
      <w:pPr>
        <w:topLinePunct/>
        <w:adjustRightInd w:val="0"/>
        <w:snapToGrid w:val="0"/>
        <w:spacing w:line="300" w:lineRule="auto"/>
        <w:rPr>
          <w:noProof/>
        </w:rPr>
      </w:pPr>
      <w:r>
        <w:rPr>
          <w:noProof/>
        </w:rPr>
        <w:drawing>
          <wp:anchor distT="0" distB="0" distL="114300" distR="114300" simplePos="0" relativeHeight="251662848" behindDoc="0" locked="0" layoutInCell="1" allowOverlap="1">
            <wp:simplePos x="0" y="0"/>
            <wp:positionH relativeFrom="column">
              <wp:align>left</wp:align>
            </wp:positionH>
            <wp:positionV relativeFrom="paragraph">
              <wp:align>top</wp:align>
            </wp:positionV>
            <wp:extent cx="1466850" cy="2026285"/>
            <wp:effectExtent l="19050" t="0" r="0" b="0"/>
            <wp:wrapSquare wrapText="bothSides"/>
            <wp:docPr id="5" name="图片 6" descr="QQ图片201401200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图片20140120092548"/>
                    <pic:cNvPicPr>
                      <a:picLocks noChangeAspect="1" noChangeArrowheads="1"/>
                    </pic:cNvPicPr>
                  </pic:nvPicPr>
                  <pic:blipFill>
                    <a:blip r:embed="rId8" cstate="print"/>
                    <a:srcRect/>
                    <a:stretch>
                      <a:fillRect/>
                    </a:stretch>
                  </pic:blipFill>
                  <pic:spPr bwMode="auto">
                    <a:xfrm>
                      <a:off x="0" y="0"/>
                      <a:ext cx="1466850" cy="2026285"/>
                    </a:xfrm>
                    <a:prstGeom prst="rect">
                      <a:avLst/>
                    </a:prstGeom>
                    <a:noFill/>
                    <a:ln w="9525">
                      <a:noFill/>
                      <a:miter lim="800000"/>
                      <a:headEnd/>
                      <a:tailEnd/>
                    </a:ln>
                  </pic:spPr>
                </pic:pic>
              </a:graphicData>
            </a:graphic>
          </wp:anchor>
        </w:drawing>
      </w:r>
      <w:r w:rsidR="00FF3A5D">
        <w:rPr>
          <w:noProof/>
        </w:rPr>
        <w:pict>
          <v:shapetype id="_x0000_t202" coordsize="21600,21600" o:spt="202" path="m,l,21600r21600,l21600,xe">
            <v:stroke joinstyle="miter"/>
            <v:path gradientshapeok="t" o:connecttype="rect"/>
          </v:shapetype>
          <v:shape id="_x0000_s1027" type="#_x0000_t202" style="position:absolute;left:0;text-align:left;margin-left:5.35pt;margin-top:0;width:291.45pt;height:176.3pt;z-index:251652608;mso-position-horizontal-relative:text;mso-position-vertical-relative:text" filled="f" stroked="f">
            <v:textbox style="mso-next-textbox:#_x0000_s1027">
              <w:txbxContent>
                <w:p w:rsidR="00176B36" w:rsidRPr="00C26B9F" w:rsidRDefault="00176B36" w:rsidP="00C26B9F">
                  <w:pPr>
                    <w:rPr>
                      <w:rFonts w:ascii="楷体_GB2312" w:eastAsia="楷体_GB2312"/>
                      <w:b/>
                      <w:color w:val="943634"/>
                      <w:sz w:val="24"/>
                    </w:rPr>
                  </w:pPr>
                  <w:bookmarkStart w:id="0" w:name="_Toc275259965"/>
                  <w:bookmarkStart w:id="1" w:name="_Toc275260022"/>
                  <w:bookmarkStart w:id="2" w:name="_Toc275260664"/>
                  <w:bookmarkStart w:id="3" w:name="_Toc275418191"/>
                  <w:bookmarkStart w:id="4" w:name="_Toc275516307"/>
                  <w:bookmarkStart w:id="5" w:name="_Toc275517450"/>
                  <w:bookmarkStart w:id="6" w:name="_Toc275520222"/>
                  <w:bookmarkStart w:id="7" w:name="_Toc281231465"/>
                  <w:bookmarkStart w:id="8" w:name="_Toc281380923"/>
                  <w:bookmarkStart w:id="9" w:name="_Toc290380340"/>
                  <w:bookmarkStart w:id="10" w:name="_Toc290760982"/>
                  <w:bookmarkStart w:id="11" w:name="_Toc290841226"/>
                  <w:bookmarkStart w:id="12" w:name="_Toc290841641"/>
                  <w:bookmarkStart w:id="13" w:name="_Toc305142519"/>
                  <w:bookmarkStart w:id="14" w:name="_Toc305142574"/>
                  <w:bookmarkStart w:id="15" w:name="_Toc305143950"/>
                  <w:bookmarkStart w:id="16" w:name="_Toc306046865"/>
                  <w:bookmarkStart w:id="17" w:name="_Toc306110651"/>
                  <w:bookmarkStart w:id="18" w:name="_Toc306111300"/>
                  <w:bookmarkStart w:id="19" w:name="_Toc329546290"/>
                  <w:bookmarkStart w:id="20" w:name="_Toc329556536"/>
                  <w:bookmarkStart w:id="21" w:name="_Toc329681822"/>
                  <w:bookmarkStart w:id="22" w:name="_Toc329682347"/>
                  <w:bookmarkStart w:id="23" w:name="_Toc329764570"/>
                  <w:bookmarkStart w:id="24" w:name="_Toc329769452"/>
                  <w:bookmarkStart w:id="25" w:name="_Toc338037436"/>
                  <w:bookmarkStart w:id="26" w:name="_Toc340436157"/>
                  <w:bookmarkStart w:id="27" w:name="_Toc345538547"/>
                  <w:bookmarkStart w:id="28" w:name="_Toc345538669"/>
                  <w:r w:rsidRPr="00C26B9F">
                    <w:rPr>
                      <w:rFonts w:ascii="楷体_GB2312" w:eastAsia="楷体_GB2312" w:hint="eastAsia"/>
                      <w:b/>
                      <w:color w:val="943634"/>
                      <w:sz w:val="24"/>
                    </w:rPr>
                    <w:t>201</w:t>
                  </w:r>
                  <w:r>
                    <w:rPr>
                      <w:rFonts w:ascii="楷体_GB2312" w:eastAsia="楷体_GB2312" w:hint="eastAsia"/>
                      <w:b/>
                      <w:color w:val="943634"/>
                      <w:sz w:val="24"/>
                    </w:rPr>
                    <w:t>4</w:t>
                  </w:r>
                  <w:r w:rsidRPr="00C26B9F">
                    <w:rPr>
                      <w:rFonts w:ascii="楷体_GB2312" w:eastAsia="楷体_GB2312" w:hint="eastAsia"/>
                      <w:b/>
                      <w:color w:val="943634"/>
                      <w:sz w:val="24"/>
                    </w:rPr>
                    <w:t>年</w:t>
                  </w:r>
                  <w:r>
                    <w:rPr>
                      <w:rFonts w:ascii="楷体_GB2312" w:eastAsia="楷体_GB2312" w:hint="eastAsia"/>
                      <w:b/>
                      <w:color w:val="943634"/>
                      <w:sz w:val="24"/>
                    </w:rPr>
                    <w:t>6</w:t>
                  </w:r>
                  <w:r w:rsidRPr="00C26B9F">
                    <w:rPr>
                      <w:rFonts w:ascii="楷体_GB2312" w:eastAsia="楷体_GB2312" w:hint="eastAsia"/>
                      <w:b/>
                      <w:color w:val="943634"/>
                      <w:sz w:val="24"/>
                    </w:rPr>
                    <w:t>月</w:t>
                  </w:r>
                  <w:r>
                    <w:rPr>
                      <w:rFonts w:ascii="楷体_GB2312" w:eastAsia="楷体_GB2312" w:hint="eastAsia"/>
                      <w:b/>
                      <w:color w:val="943634"/>
                      <w:sz w:val="24"/>
                    </w:rPr>
                    <w:t>6</w:t>
                  </w:r>
                  <w:r w:rsidRPr="00C26B9F">
                    <w:rPr>
                      <w:rFonts w:ascii="楷体_GB2312" w:eastAsia="楷体_GB2312" w:hint="eastAsia"/>
                      <w:b/>
                      <w:color w:val="943634"/>
                      <w:sz w:val="24"/>
                    </w:rPr>
                    <w:t>日      星期</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Fonts w:ascii="楷体_GB2312" w:eastAsia="楷体_GB2312" w:hint="eastAsia"/>
                      <w:b/>
                      <w:color w:val="943634"/>
                      <w:sz w:val="24"/>
                    </w:rPr>
                    <w:t>五</w:t>
                  </w:r>
                </w:p>
                <w:p w:rsidR="00176B36" w:rsidRPr="00C26B9F" w:rsidRDefault="00176B36" w:rsidP="009056BA">
                  <w:pPr>
                    <w:pStyle w:val="1"/>
                    <w:spacing w:beforeLines="100" w:afterLines="150" w:line="240" w:lineRule="auto"/>
                    <w:jc w:val="center"/>
                    <w:rPr>
                      <w:rFonts w:ascii="黑体" w:eastAsia="黑体"/>
                      <w:color w:val="993300"/>
                      <w:sz w:val="36"/>
                      <w:szCs w:val="36"/>
                    </w:rPr>
                  </w:pPr>
                  <w:bookmarkStart w:id="29" w:name="_Toc376424351"/>
                  <w:bookmarkStart w:id="30" w:name="_Toc389830945"/>
                  <w:r>
                    <w:rPr>
                      <w:rFonts w:ascii="黑体" w:eastAsia="黑体" w:hint="eastAsia"/>
                      <w:color w:val="993300"/>
                      <w:sz w:val="36"/>
                      <w:szCs w:val="36"/>
                    </w:rPr>
                    <w:t>铅锌</w:t>
                  </w:r>
                  <w:bookmarkEnd w:id="29"/>
                  <w:r w:rsidR="00E65983">
                    <w:rPr>
                      <w:rFonts w:ascii="黑体" w:eastAsia="黑体" w:hint="eastAsia"/>
                      <w:color w:val="993300"/>
                      <w:sz w:val="36"/>
                      <w:szCs w:val="36"/>
                    </w:rPr>
                    <w:t>本年度走势分析</w:t>
                  </w:r>
                  <w:bookmarkEnd w:id="30"/>
                </w:p>
                <w:p w:rsidR="00176B36" w:rsidRPr="00C26B9F" w:rsidRDefault="00176B36" w:rsidP="007F0117">
                  <w:pPr>
                    <w:adjustRightInd w:val="0"/>
                    <w:snapToGrid w:val="0"/>
                    <w:spacing w:line="360" w:lineRule="auto"/>
                    <w:ind w:leftChars="607" w:left="1275" w:rightChars="413" w:right="867" w:firstLine="1"/>
                    <w:rPr>
                      <w:rFonts w:ascii="楷体_GB2312" w:eastAsia="楷体_GB2312"/>
                      <w:b/>
                      <w:sz w:val="24"/>
                    </w:rPr>
                  </w:pPr>
                  <w:bookmarkStart w:id="31" w:name="_Toc275257958"/>
                  <w:bookmarkStart w:id="32" w:name="_Toc275259967"/>
                  <w:bookmarkStart w:id="33" w:name="_Toc275260024"/>
                  <w:bookmarkStart w:id="34" w:name="_Toc275260666"/>
                  <w:bookmarkStart w:id="35" w:name="_Toc275418193"/>
                  <w:bookmarkStart w:id="36" w:name="_Toc275516309"/>
                  <w:bookmarkStart w:id="37" w:name="_Toc275517452"/>
                  <w:bookmarkStart w:id="38" w:name="_Toc275520224"/>
                  <w:bookmarkStart w:id="39" w:name="_Toc281231468"/>
                  <w:bookmarkStart w:id="40" w:name="_Toc281380926"/>
                  <w:bookmarkStart w:id="41" w:name="_Toc290380343"/>
                  <w:bookmarkStart w:id="42" w:name="_Toc290760985"/>
                  <w:bookmarkStart w:id="43" w:name="_Toc290841229"/>
                  <w:bookmarkStart w:id="44" w:name="_Toc290841644"/>
                  <w:bookmarkStart w:id="45" w:name="_Toc305142522"/>
                  <w:bookmarkStart w:id="46" w:name="_Toc305142577"/>
                  <w:bookmarkStart w:id="47" w:name="_Toc305143953"/>
                  <w:bookmarkStart w:id="48" w:name="_Toc306046868"/>
                  <w:bookmarkStart w:id="49" w:name="_Toc306110654"/>
                  <w:bookmarkStart w:id="50" w:name="_Toc306111303"/>
                  <w:bookmarkStart w:id="51" w:name="_Toc329546292"/>
                  <w:bookmarkStart w:id="52" w:name="_Toc329556538"/>
                  <w:bookmarkStart w:id="53" w:name="_Toc329681824"/>
                  <w:bookmarkStart w:id="54" w:name="_Toc329682349"/>
                  <w:bookmarkStart w:id="55" w:name="_Toc329764572"/>
                  <w:bookmarkStart w:id="56" w:name="_Toc329769454"/>
                  <w:bookmarkStart w:id="57" w:name="_Toc338037438"/>
                  <w:bookmarkStart w:id="58" w:name="_Toc340436159"/>
                  <w:bookmarkStart w:id="59" w:name="_Toc345538549"/>
                  <w:bookmarkStart w:id="60" w:name="_Toc345538671"/>
                  <w:r w:rsidRPr="00C26B9F">
                    <w:rPr>
                      <w:rFonts w:ascii="楷体_GB2312" w:eastAsia="楷体_GB2312" w:hint="eastAsia"/>
                      <w:b/>
                      <w:sz w:val="24"/>
                    </w:rPr>
                    <w:t xml:space="preserve">联系人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ascii="楷体_GB2312" w:eastAsia="楷体_GB2312" w:hint="eastAsia"/>
                      <w:b/>
                      <w:sz w:val="24"/>
                    </w:rPr>
                    <w:t>吴晶</w:t>
                  </w:r>
                </w:p>
                <w:p w:rsidR="00176B36" w:rsidRPr="00C26B9F" w:rsidRDefault="00176B36" w:rsidP="00E173AA">
                  <w:pPr>
                    <w:adjustRightInd w:val="0"/>
                    <w:snapToGrid w:val="0"/>
                    <w:spacing w:line="360" w:lineRule="auto"/>
                    <w:ind w:firstLineChars="529" w:firstLine="1275"/>
                    <w:rPr>
                      <w:rFonts w:ascii="楷体_GB2312" w:eastAsia="楷体_GB2312"/>
                      <w:b/>
                      <w:sz w:val="24"/>
                    </w:rPr>
                  </w:pPr>
                  <w:bookmarkStart w:id="61" w:name="_Toc329546293"/>
                  <w:bookmarkStart w:id="62" w:name="_Toc329556539"/>
                  <w:bookmarkStart w:id="63" w:name="_Toc329681825"/>
                  <w:bookmarkStart w:id="64" w:name="_Toc329682350"/>
                  <w:bookmarkStart w:id="65" w:name="_Toc329764573"/>
                  <w:bookmarkStart w:id="66" w:name="_Toc329769455"/>
                  <w:bookmarkStart w:id="67" w:name="_Toc338037439"/>
                  <w:bookmarkStart w:id="68" w:name="_Toc340436160"/>
                  <w:bookmarkStart w:id="69" w:name="_Toc345538550"/>
                  <w:bookmarkStart w:id="70" w:name="_Toc345538672"/>
                  <w:bookmarkStart w:id="71" w:name="_Toc275257959"/>
                  <w:bookmarkStart w:id="72" w:name="_Toc275259968"/>
                  <w:bookmarkStart w:id="73" w:name="_Toc275260025"/>
                  <w:bookmarkStart w:id="74" w:name="_Toc275260667"/>
                  <w:bookmarkStart w:id="75" w:name="_Toc275418194"/>
                  <w:bookmarkStart w:id="76" w:name="_Toc275516310"/>
                  <w:bookmarkStart w:id="77" w:name="_Toc275517453"/>
                  <w:bookmarkStart w:id="78" w:name="_Toc275520225"/>
                  <w:bookmarkStart w:id="79" w:name="_Toc281231469"/>
                  <w:bookmarkStart w:id="80" w:name="_Toc281380927"/>
                  <w:bookmarkStart w:id="81" w:name="_Toc290380344"/>
                  <w:bookmarkStart w:id="82" w:name="_Toc290760986"/>
                  <w:bookmarkStart w:id="83" w:name="_Toc290841230"/>
                  <w:bookmarkStart w:id="84" w:name="_Toc290841645"/>
                  <w:bookmarkStart w:id="85" w:name="_Toc305142523"/>
                  <w:bookmarkStart w:id="86" w:name="_Toc305142578"/>
                  <w:bookmarkStart w:id="87" w:name="_Toc305143954"/>
                  <w:bookmarkStart w:id="88" w:name="_Toc306046869"/>
                  <w:bookmarkStart w:id="89" w:name="_Toc306110655"/>
                  <w:bookmarkStart w:id="90" w:name="_Toc306111304"/>
                  <w:r w:rsidRPr="00C26B9F">
                    <w:rPr>
                      <w:rFonts w:ascii="楷体_GB2312" w:eastAsia="楷体_GB2312" w:hint="eastAsia"/>
                      <w:b/>
                      <w:sz w:val="24"/>
                    </w:rPr>
                    <w:t>电子</w:t>
                  </w:r>
                  <w:hyperlink r:id="rId9" w:history="1">
                    <w:r w:rsidRPr="00C27490">
                      <w:rPr>
                        <w:rStyle w:val="a5"/>
                        <w:rFonts w:ascii="楷体_GB2312" w:eastAsia="楷体_GB2312" w:hAnsi="Times New Roman" w:hint="eastAsia"/>
                        <w:b/>
                        <w:sz w:val="24"/>
                        <w:szCs w:val="24"/>
                      </w:rPr>
                      <w:t>邮箱</w:t>
                    </w:r>
                    <w:r w:rsidRPr="00C27490">
                      <w:rPr>
                        <w:rStyle w:val="a5"/>
                        <w:rFonts w:ascii="楷体_GB2312" w:hAnsi="Times New Roman" w:hint="eastAsia"/>
                        <w:b/>
                        <w:sz w:val="21"/>
                        <w:szCs w:val="24"/>
                      </w:rPr>
                      <w:t xml:space="preserve">     wu.j</w:t>
                    </w:r>
                    <w:r w:rsidRPr="00C27490">
                      <w:rPr>
                        <w:rStyle w:val="a5"/>
                        <w:rFonts w:ascii="楷体_GB2312" w:hAnsi="Times New Roman"/>
                        <w:b/>
                        <w:sz w:val="21"/>
                        <w:szCs w:val="24"/>
                      </w:rPr>
                      <w:t>@jyqh.com.cn</w:t>
                    </w:r>
                  </w:hyperlink>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176B36" w:rsidRPr="0023066A" w:rsidRDefault="00176B36" w:rsidP="00F55942">
                  <w:pPr>
                    <w:adjustRightInd w:val="0"/>
                    <w:snapToGrid w:val="0"/>
                    <w:spacing w:line="360" w:lineRule="auto"/>
                    <w:ind w:leftChars="607" w:left="1275" w:firstLine="1"/>
                    <w:rPr>
                      <w:rFonts w:ascii="楷体_GB2312" w:eastAsia="楷体_GB2312"/>
                      <w:b/>
                      <w:sz w:val="24"/>
                    </w:rPr>
                  </w:pPr>
                  <w:bookmarkStart w:id="91" w:name="_Toc275257960"/>
                  <w:bookmarkStart w:id="92" w:name="_Toc275259969"/>
                  <w:bookmarkStart w:id="93" w:name="_Toc275260026"/>
                  <w:bookmarkStart w:id="94" w:name="_Toc275260668"/>
                  <w:bookmarkStart w:id="95" w:name="_Toc275418195"/>
                  <w:bookmarkStart w:id="96" w:name="_Toc275516311"/>
                  <w:bookmarkStart w:id="97" w:name="_Toc275517454"/>
                  <w:bookmarkStart w:id="98" w:name="_Toc275520226"/>
                  <w:bookmarkStart w:id="99" w:name="_Toc281231470"/>
                  <w:bookmarkStart w:id="100" w:name="_Toc281380928"/>
                  <w:bookmarkStart w:id="101" w:name="_Toc290380345"/>
                  <w:bookmarkStart w:id="102" w:name="_Toc290760987"/>
                  <w:bookmarkStart w:id="103" w:name="_Toc290841231"/>
                  <w:bookmarkStart w:id="104" w:name="_Toc290841646"/>
                  <w:bookmarkStart w:id="105" w:name="_Toc305142524"/>
                  <w:bookmarkStart w:id="106" w:name="_Toc305142579"/>
                  <w:bookmarkStart w:id="107" w:name="_Toc305143955"/>
                  <w:bookmarkStart w:id="108" w:name="_Toc306046870"/>
                  <w:bookmarkStart w:id="109" w:name="_Toc306110656"/>
                  <w:bookmarkStart w:id="110" w:name="_Toc306111305"/>
                  <w:bookmarkStart w:id="111" w:name="_Toc329546294"/>
                  <w:bookmarkStart w:id="112" w:name="_Toc329556540"/>
                  <w:bookmarkStart w:id="113" w:name="_Toc329681826"/>
                  <w:bookmarkStart w:id="114" w:name="_Toc329682351"/>
                  <w:bookmarkStart w:id="115" w:name="_Toc329764574"/>
                  <w:bookmarkStart w:id="116" w:name="_Toc329769456"/>
                  <w:bookmarkStart w:id="117" w:name="_Toc338037440"/>
                  <w:bookmarkStart w:id="118" w:name="_Toc340436161"/>
                  <w:bookmarkStart w:id="119" w:name="_Toc345538551"/>
                  <w:bookmarkStart w:id="120" w:name="_Toc345538673"/>
                  <w:r w:rsidRPr="00C26B9F">
                    <w:rPr>
                      <w:rFonts w:ascii="楷体_GB2312" w:eastAsia="楷体_GB2312" w:hint="eastAsia"/>
                      <w:b/>
                      <w:sz w:val="24"/>
                    </w:rPr>
                    <w:t>电话        021-68559999-</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C26B9F">
                    <w:rPr>
                      <w:rFonts w:ascii="楷体_GB2312" w:eastAsia="楷体_GB2312" w:hint="eastAsia"/>
                      <w:b/>
                      <w:sz w:val="24"/>
                    </w:rPr>
                    <w:t>2</w:t>
                  </w:r>
                  <w:bookmarkEnd w:id="111"/>
                  <w:bookmarkEnd w:id="112"/>
                  <w:bookmarkEnd w:id="113"/>
                  <w:bookmarkEnd w:id="114"/>
                  <w:bookmarkEnd w:id="115"/>
                  <w:bookmarkEnd w:id="116"/>
                  <w:bookmarkEnd w:id="117"/>
                  <w:bookmarkEnd w:id="118"/>
                  <w:bookmarkEnd w:id="119"/>
                  <w:bookmarkEnd w:id="120"/>
                  <w:r>
                    <w:rPr>
                      <w:rFonts w:ascii="楷体_GB2312" w:eastAsia="楷体_GB2312" w:hint="eastAsia"/>
                      <w:b/>
                      <w:sz w:val="24"/>
                    </w:rPr>
                    <w:t>56</w:t>
                  </w:r>
                </w:p>
              </w:txbxContent>
            </v:textbox>
          </v:shape>
        </w:pict>
      </w:r>
    </w:p>
    <w:p w:rsidR="007F0117" w:rsidRDefault="007F0117" w:rsidP="00625C75">
      <w:pPr>
        <w:topLinePunct/>
        <w:adjustRightInd w:val="0"/>
        <w:snapToGrid w:val="0"/>
        <w:spacing w:line="300" w:lineRule="auto"/>
        <w:rPr>
          <w:noProof/>
        </w:rPr>
      </w:pPr>
    </w:p>
    <w:p w:rsidR="007F0117" w:rsidRDefault="007F0117" w:rsidP="00625C75">
      <w:pPr>
        <w:topLinePunct/>
        <w:adjustRightInd w:val="0"/>
        <w:snapToGrid w:val="0"/>
        <w:spacing w:line="300" w:lineRule="auto"/>
        <w:rPr>
          <w:noProof/>
        </w:rPr>
      </w:pPr>
    </w:p>
    <w:p w:rsidR="007F0117" w:rsidRDefault="007F0117" w:rsidP="00625C75">
      <w:pPr>
        <w:topLinePunct/>
        <w:adjustRightInd w:val="0"/>
        <w:snapToGrid w:val="0"/>
        <w:spacing w:line="300" w:lineRule="auto"/>
        <w:rPr>
          <w:noProof/>
        </w:rPr>
      </w:pPr>
    </w:p>
    <w:p w:rsidR="007F0117" w:rsidRDefault="007F0117" w:rsidP="00625C75">
      <w:pPr>
        <w:topLinePunct/>
        <w:adjustRightInd w:val="0"/>
        <w:snapToGrid w:val="0"/>
        <w:spacing w:line="300" w:lineRule="auto"/>
        <w:rPr>
          <w:noProof/>
        </w:rPr>
      </w:pPr>
    </w:p>
    <w:p w:rsidR="007F0117" w:rsidRDefault="007F0117" w:rsidP="00625C75">
      <w:pPr>
        <w:topLinePunct/>
        <w:adjustRightInd w:val="0"/>
        <w:snapToGrid w:val="0"/>
        <w:spacing w:line="300" w:lineRule="auto"/>
        <w:rPr>
          <w:noProof/>
        </w:rPr>
      </w:pPr>
    </w:p>
    <w:p w:rsidR="007F0117" w:rsidRDefault="007F0117" w:rsidP="00625C75">
      <w:pPr>
        <w:topLinePunct/>
        <w:adjustRightInd w:val="0"/>
        <w:snapToGrid w:val="0"/>
        <w:spacing w:line="300" w:lineRule="auto"/>
        <w:rPr>
          <w:noProof/>
        </w:rPr>
      </w:pPr>
    </w:p>
    <w:p w:rsidR="007F0117" w:rsidRDefault="007F0117" w:rsidP="00625C75">
      <w:pPr>
        <w:topLinePunct/>
        <w:adjustRightInd w:val="0"/>
        <w:snapToGrid w:val="0"/>
        <w:spacing w:line="300" w:lineRule="auto"/>
        <w:rPr>
          <w:noProof/>
        </w:rPr>
      </w:pPr>
    </w:p>
    <w:p w:rsidR="007F0117" w:rsidRDefault="007F0117" w:rsidP="00625C75">
      <w:pPr>
        <w:topLinePunct/>
        <w:adjustRightInd w:val="0"/>
        <w:snapToGrid w:val="0"/>
        <w:spacing w:line="300" w:lineRule="auto"/>
        <w:rPr>
          <w:noProof/>
        </w:rPr>
      </w:pPr>
    </w:p>
    <w:p w:rsidR="007F0117" w:rsidRDefault="007F0117" w:rsidP="00625C75">
      <w:pPr>
        <w:topLinePunct/>
        <w:adjustRightInd w:val="0"/>
        <w:snapToGrid w:val="0"/>
        <w:spacing w:line="300" w:lineRule="auto"/>
        <w:rPr>
          <w:noProof/>
        </w:rPr>
      </w:pPr>
    </w:p>
    <w:p w:rsidR="007F0117" w:rsidRPr="00A83677" w:rsidRDefault="007F0117" w:rsidP="00625C75">
      <w:pPr>
        <w:topLinePunct/>
        <w:adjustRightInd w:val="0"/>
        <w:snapToGrid w:val="0"/>
        <w:spacing w:line="300" w:lineRule="auto"/>
      </w:pPr>
    </w:p>
    <w:p w:rsidR="00D51966" w:rsidRDefault="00FF3A5D" w:rsidP="00D51966">
      <w:pPr>
        <w:widowControl/>
        <w:jc w:val="center"/>
      </w:pPr>
      <w:r>
        <w:rPr>
          <w:noProof/>
        </w:rPr>
        <w:pict>
          <v:shape id="_x0000_s3777" type="#_x0000_t202" style="position:absolute;left:0;text-align:left;margin-left:4.3pt;margin-top:2.35pt;width:418.5pt;height:23.4pt;z-index:251660800" fillcolor="#f90" stroked="f">
            <v:textbox style="mso-next-textbox:#_x0000_s3777">
              <w:txbxContent>
                <w:p w:rsidR="00176B36" w:rsidRPr="00C42D46" w:rsidRDefault="00176B36" w:rsidP="00D51966">
                  <w:pPr>
                    <w:snapToGrid w:val="0"/>
                    <w:jc w:val="left"/>
                    <w:textAlignment w:val="top"/>
                    <w:rPr>
                      <w:b/>
                      <w:sz w:val="28"/>
                      <w:szCs w:val="28"/>
                    </w:rPr>
                  </w:pPr>
                  <w:r w:rsidRPr="00C42D46">
                    <w:rPr>
                      <w:rFonts w:hint="eastAsia"/>
                      <w:b/>
                      <w:sz w:val="28"/>
                      <w:szCs w:val="28"/>
                    </w:rPr>
                    <w:t>要</w:t>
                  </w:r>
                  <w:r w:rsidRPr="00C42D46">
                    <w:rPr>
                      <w:rFonts w:hint="eastAsia"/>
                      <w:b/>
                      <w:sz w:val="28"/>
                      <w:szCs w:val="28"/>
                    </w:rPr>
                    <w:t xml:space="preserve">  </w:t>
                  </w:r>
                  <w:r w:rsidRPr="00C42D46">
                    <w:rPr>
                      <w:rFonts w:hint="eastAsia"/>
                      <w:b/>
                      <w:sz w:val="28"/>
                      <w:szCs w:val="28"/>
                    </w:rPr>
                    <w:t>点</w:t>
                  </w:r>
                </w:p>
              </w:txbxContent>
            </v:textbox>
          </v:shape>
        </w:pict>
      </w:r>
    </w:p>
    <w:p w:rsidR="00654FA6" w:rsidRPr="00457721" w:rsidRDefault="00654FA6" w:rsidP="00654FA6">
      <w:pPr>
        <w:spacing w:line="360" w:lineRule="auto"/>
        <w:rPr>
          <w:rFonts w:ascii="楷体_GB2312" w:eastAsia="楷体_GB2312"/>
          <w:b/>
          <w:sz w:val="24"/>
        </w:rPr>
      </w:pPr>
    </w:p>
    <w:p w:rsidR="00C314F3" w:rsidRPr="00C314F3" w:rsidRDefault="00C314F3" w:rsidP="00C314F3">
      <w:pPr>
        <w:pStyle w:val="ac"/>
        <w:widowControl/>
        <w:numPr>
          <w:ilvl w:val="0"/>
          <w:numId w:val="22"/>
        </w:numPr>
        <w:adjustRightInd w:val="0"/>
        <w:snapToGrid w:val="0"/>
        <w:spacing w:line="300" w:lineRule="auto"/>
        <w:ind w:left="0" w:firstLineChars="0" w:firstLine="0"/>
        <w:rPr>
          <w:rFonts w:ascii="楷体_GB2312" w:eastAsia="楷体_GB2312"/>
          <w:b/>
          <w:sz w:val="24"/>
        </w:rPr>
      </w:pPr>
      <w:r w:rsidRPr="00C314F3">
        <w:rPr>
          <w:rFonts w:ascii="楷体_GB2312" w:eastAsia="楷体_GB2312" w:hint="eastAsia"/>
          <w:b/>
          <w:sz w:val="24"/>
        </w:rPr>
        <w:t>宏观面，欧美国家经济回暖迹象明显，但整体需求仍处于恢复性增长阶段，经济前景仍需进一步确认。中国经济正处于转型期，需求增速或受一定抑制。总体来说，当前金属的运行环境比较平稳，今年下半年宏观大环境不会有太多变化。基本面来看，全球</w:t>
      </w:r>
      <w:r>
        <w:rPr>
          <w:rFonts w:ascii="楷体_GB2312" w:eastAsia="楷体_GB2312" w:hint="eastAsia"/>
          <w:b/>
          <w:sz w:val="24"/>
        </w:rPr>
        <w:t>锌</w:t>
      </w:r>
      <w:r w:rsidRPr="00C314F3">
        <w:rPr>
          <w:rFonts w:ascii="楷体_GB2312" w:eastAsia="楷体_GB2312" w:hint="eastAsia"/>
          <w:b/>
          <w:sz w:val="24"/>
        </w:rPr>
        <w:t>市场连续两年供应短缺，消费情况稳中有增，交易所库存持续下滑，全球锌市场基本面在好转，锌价在成本区徘徊已久，底部支撑较强。在全球经济相对较为平稳的大环境下，锌的消费趋向稳定增长，市场波动更多依赖于供给方面的变化。供给端来看，全球精炼锌过剩状况明显缓解，而过剩基本集中在中国。国内冶炼能力持续扩大，加上既有的产能，在原料供应充足的情况下，国内精锌产量预计将保持稳步增长的势头。在中国产量居高不下维持稳定增长的背景下，预计2014年锌价上涨依然乏力，但底部支撑较强，年平均价预计略高于2013年，LME锌价在1900-2300美元/吨之间，上期所期锌在14500-16100元/吨之间。</w:t>
      </w:r>
      <w:r w:rsidRPr="00C314F3">
        <w:rPr>
          <w:rFonts w:ascii="楷体_GB2312" w:eastAsia="楷体_GB2312"/>
          <w:b/>
          <w:sz w:val="24"/>
        </w:rPr>
        <w:t xml:space="preserve"> </w:t>
      </w:r>
    </w:p>
    <w:p w:rsidR="0064423D" w:rsidRPr="00C314F3" w:rsidRDefault="00C314F3" w:rsidP="00C314F3">
      <w:pPr>
        <w:pStyle w:val="ac"/>
        <w:widowControl/>
        <w:numPr>
          <w:ilvl w:val="0"/>
          <w:numId w:val="22"/>
        </w:numPr>
        <w:adjustRightInd w:val="0"/>
        <w:snapToGrid w:val="0"/>
        <w:spacing w:line="300" w:lineRule="auto"/>
        <w:ind w:left="0" w:firstLineChars="0" w:firstLine="0"/>
        <w:rPr>
          <w:rFonts w:ascii="楷体_GB2312" w:eastAsia="楷体_GB2312"/>
          <w:b/>
          <w:sz w:val="24"/>
        </w:rPr>
      </w:pPr>
      <w:r w:rsidRPr="00C314F3">
        <w:rPr>
          <w:rFonts w:ascii="楷体_GB2312" w:eastAsia="楷体_GB2312" w:hint="eastAsia"/>
          <w:b/>
          <w:sz w:val="24"/>
        </w:rPr>
        <w:t>从供给端看，全球铅精矿资源仍然缺乏，精炼铅供应面总体趋紧，中国精炼铅出口持续减少，西方市场供应料依旧保持紧缺格局，对价格形成一定支撑。铅供应偏紧的情况也体现在了交易所铅库存的回落上，而库存与铅价的走势呈反比关系，未来料库存或将维持低位，这也将为铅价带来一定支撑。从需求端看，在通讯、汽车较快增长的拉动下，国内铅酸蓄电池产量保持稳定增长，成为铅市场最有利的支撑因素。但国内方面，由于原料供应充足，加之冶炼产能持续扩张，国内铅市场很难出现明显短缺，预计国内铅价将在外盘拉动下底部稳固，但上行乏力。我们预估2014年LME铅年波动于2000-2300美元/吨之间，2014年国内铅价波动区间为13500-15200元/吨。</w:t>
      </w:r>
    </w:p>
    <w:p w:rsidR="00D51966" w:rsidRPr="00C314F3" w:rsidRDefault="00D51966" w:rsidP="0064423D">
      <w:pPr>
        <w:pStyle w:val="ac"/>
        <w:widowControl/>
        <w:adjustRightInd w:val="0"/>
        <w:snapToGrid w:val="0"/>
        <w:spacing w:line="300" w:lineRule="auto"/>
        <w:ind w:firstLineChars="0" w:firstLine="0"/>
        <w:rPr>
          <w:rFonts w:ascii="楷体_GB2312" w:eastAsia="楷体_GB2312"/>
          <w:b/>
          <w:sz w:val="24"/>
        </w:rPr>
      </w:pPr>
    </w:p>
    <w:p w:rsidR="00D42B86" w:rsidRDefault="00D42B86" w:rsidP="00943228">
      <w:pPr>
        <w:widowControl/>
        <w:adjustRightInd w:val="0"/>
        <w:snapToGrid w:val="0"/>
        <w:spacing w:line="300" w:lineRule="auto"/>
        <w:jc w:val="center"/>
        <w:rPr>
          <w:rFonts w:ascii="楷体_GB2312" w:eastAsia="楷体_GB2312"/>
          <w:b/>
          <w:sz w:val="24"/>
        </w:rPr>
      </w:pPr>
    </w:p>
    <w:p w:rsidR="00943228" w:rsidRPr="00D42B86" w:rsidRDefault="003C02C7" w:rsidP="00D42B86">
      <w:pPr>
        <w:widowControl/>
        <w:adjustRightInd w:val="0"/>
        <w:snapToGrid w:val="0"/>
        <w:spacing w:line="300" w:lineRule="auto"/>
        <w:jc w:val="center"/>
        <w:rPr>
          <w:rFonts w:ascii="楷体_GB2312" w:eastAsia="楷体_GB2312"/>
          <w:b/>
          <w:sz w:val="24"/>
        </w:rPr>
      </w:pPr>
      <w:r w:rsidRPr="00943228">
        <w:rPr>
          <w:rFonts w:ascii="楷体_GB2312" w:eastAsia="楷体_GB2312"/>
          <w:b/>
          <w:sz w:val="24"/>
        </w:rPr>
        <w:br w:type="page"/>
      </w:r>
      <w:bookmarkStart w:id="121" w:name="_Toc258826728"/>
      <w:bookmarkStart w:id="122" w:name="_Toc227922499"/>
      <w:bookmarkStart w:id="123" w:name="_Toc274253780"/>
    </w:p>
    <w:p w:rsidR="00C314F3" w:rsidRPr="00C314F3" w:rsidRDefault="00161B2D" w:rsidP="009056BA">
      <w:pPr>
        <w:widowControl/>
        <w:adjustRightInd w:val="0"/>
        <w:snapToGrid w:val="0"/>
        <w:spacing w:beforeLines="300" w:line="300" w:lineRule="auto"/>
        <w:jc w:val="center"/>
        <w:rPr>
          <w:noProof/>
          <w:color w:val="993300"/>
        </w:rPr>
      </w:pPr>
      <w:r w:rsidRPr="00A84A80">
        <w:rPr>
          <w:rStyle w:val="a5"/>
          <w:rFonts w:ascii="华文中宋" w:eastAsia="华文中宋" w:hAnsi="华文中宋"/>
          <w:b/>
          <w:noProof/>
          <w:color w:val="993300"/>
          <w:sz w:val="32"/>
          <w:szCs w:val="32"/>
        </w:rPr>
        <w:lastRenderedPageBreak/>
        <w:t>目录</w:t>
      </w:r>
      <w:r w:rsidR="00FF3A5D" w:rsidRPr="00FF3A5D">
        <w:rPr>
          <w:rStyle w:val="a5"/>
          <w:rFonts w:ascii="华文中宋" w:eastAsia="华文中宋" w:hAnsi="华文中宋"/>
          <w:b/>
          <w:bCs/>
          <w:noProof/>
          <w:color w:val="993300"/>
          <w:sz w:val="32"/>
          <w:szCs w:val="32"/>
        </w:rPr>
        <w:fldChar w:fldCharType="begin"/>
      </w:r>
      <w:r w:rsidRPr="00C314F3">
        <w:rPr>
          <w:rStyle w:val="a5"/>
          <w:rFonts w:ascii="华文中宋" w:eastAsia="华文中宋" w:hAnsi="华文中宋"/>
          <w:noProof/>
          <w:color w:val="993300"/>
          <w:sz w:val="32"/>
          <w:szCs w:val="32"/>
        </w:rPr>
        <w:instrText xml:space="preserve"> TOC \o "1-3" \h \z \u </w:instrText>
      </w:r>
      <w:r w:rsidR="00FF3A5D" w:rsidRPr="00FF3A5D">
        <w:rPr>
          <w:rStyle w:val="a5"/>
          <w:rFonts w:ascii="华文中宋" w:eastAsia="华文中宋" w:hAnsi="华文中宋"/>
          <w:b/>
          <w:bCs/>
          <w:noProof/>
          <w:color w:val="993300"/>
          <w:sz w:val="32"/>
          <w:szCs w:val="32"/>
        </w:rPr>
        <w:fldChar w:fldCharType="separate"/>
      </w:r>
    </w:p>
    <w:p w:rsidR="00C314F3" w:rsidRPr="00C314F3" w:rsidRDefault="00FF3A5D">
      <w:pPr>
        <w:pStyle w:val="10"/>
        <w:rPr>
          <w:rFonts w:asciiTheme="minorHAnsi" w:hAnsiTheme="minorHAnsi" w:cstheme="minorBidi"/>
          <w:b w:val="0"/>
          <w:bCs w:val="0"/>
          <w:noProof/>
          <w:szCs w:val="22"/>
        </w:rPr>
      </w:pPr>
      <w:hyperlink w:anchor="_Toc389830946" w:history="1">
        <w:r w:rsidR="00C314F3" w:rsidRPr="00C314F3">
          <w:rPr>
            <w:rStyle w:val="a5"/>
            <w:rFonts w:ascii="宋体" w:hAnsi="宋体" w:hint="eastAsia"/>
            <w:noProof/>
            <w:color w:val="993300"/>
          </w:rPr>
          <w:t>第一部分</w:t>
        </w:r>
        <w:r w:rsidR="00C314F3" w:rsidRPr="00C314F3">
          <w:rPr>
            <w:rStyle w:val="a5"/>
            <w:rFonts w:ascii="宋体" w:hAnsi="宋体"/>
            <w:noProof/>
            <w:color w:val="993300"/>
          </w:rPr>
          <w:t xml:space="preserve">    </w:t>
        </w:r>
        <w:r w:rsidR="00C314F3" w:rsidRPr="00C314F3">
          <w:rPr>
            <w:rStyle w:val="a5"/>
            <w:rFonts w:ascii="宋体" w:hAnsi="宋体" w:hint="eastAsia"/>
            <w:noProof/>
            <w:color w:val="993300"/>
          </w:rPr>
          <w:t>铅锌市场行情回顾</w:t>
        </w:r>
        <w:r w:rsidR="00C314F3" w:rsidRPr="00C314F3">
          <w:rPr>
            <w:noProof/>
            <w:webHidden/>
          </w:rPr>
          <w:tab/>
        </w:r>
        <w:r w:rsidRPr="00C314F3">
          <w:rPr>
            <w:noProof/>
            <w:webHidden/>
          </w:rPr>
          <w:fldChar w:fldCharType="begin"/>
        </w:r>
        <w:r w:rsidR="00C314F3" w:rsidRPr="00C314F3">
          <w:rPr>
            <w:noProof/>
            <w:webHidden/>
          </w:rPr>
          <w:instrText xml:space="preserve"> PAGEREF _Toc389830946 \h </w:instrText>
        </w:r>
        <w:r w:rsidRPr="00C314F3">
          <w:rPr>
            <w:noProof/>
            <w:webHidden/>
          </w:rPr>
        </w:r>
        <w:r w:rsidRPr="00C314F3">
          <w:rPr>
            <w:noProof/>
            <w:webHidden/>
          </w:rPr>
          <w:fldChar w:fldCharType="separate"/>
        </w:r>
        <w:r w:rsidR="00C314F3" w:rsidRPr="00C314F3">
          <w:rPr>
            <w:noProof/>
            <w:webHidden/>
          </w:rPr>
          <w:t>2</w:t>
        </w:r>
        <w:r w:rsidRPr="00C314F3">
          <w:rPr>
            <w:noProof/>
            <w:webHidden/>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47" w:history="1">
        <w:r w:rsidR="00C314F3" w:rsidRPr="00C314F3">
          <w:rPr>
            <w:rStyle w:val="a5"/>
            <w:rFonts w:ascii="宋体" w:hAnsi="宋体" w:hint="eastAsia"/>
            <w:noProof/>
            <w:color w:val="993300"/>
          </w:rPr>
          <w:t>1、</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锌行情评述</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_Toc389830947 \h </w:instrText>
        </w:r>
        <w:r w:rsidRPr="00C314F3">
          <w:rPr>
            <w:noProof/>
            <w:webHidden/>
            <w:color w:val="993300"/>
          </w:rPr>
        </w:r>
        <w:r w:rsidRPr="00C314F3">
          <w:rPr>
            <w:noProof/>
            <w:webHidden/>
            <w:color w:val="993300"/>
          </w:rPr>
          <w:fldChar w:fldCharType="separate"/>
        </w:r>
        <w:r w:rsidR="00C314F3" w:rsidRPr="00C314F3">
          <w:rPr>
            <w:noProof/>
            <w:webHidden/>
            <w:color w:val="993300"/>
          </w:rPr>
          <w:t>2</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48" w:history="1">
        <w:r w:rsidR="00C314F3" w:rsidRPr="00C314F3">
          <w:rPr>
            <w:rStyle w:val="a5"/>
            <w:rFonts w:ascii="宋体" w:hAnsi="宋体" w:hint="eastAsia"/>
            <w:noProof/>
            <w:color w:val="993300"/>
          </w:rPr>
          <w:t>2、</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铅行情评述</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_Toc389830948 \h </w:instrText>
        </w:r>
        <w:r w:rsidRPr="00C314F3">
          <w:rPr>
            <w:noProof/>
            <w:webHidden/>
            <w:color w:val="993300"/>
          </w:rPr>
        </w:r>
        <w:r w:rsidRPr="00C314F3">
          <w:rPr>
            <w:noProof/>
            <w:webHidden/>
            <w:color w:val="993300"/>
          </w:rPr>
          <w:fldChar w:fldCharType="separate"/>
        </w:r>
        <w:r w:rsidR="00C314F3" w:rsidRPr="00C314F3">
          <w:rPr>
            <w:noProof/>
            <w:webHidden/>
            <w:color w:val="993300"/>
          </w:rPr>
          <w:t>3</w:t>
        </w:r>
        <w:r w:rsidRPr="00C314F3">
          <w:rPr>
            <w:noProof/>
            <w:webHidden/>
            <w:color w:val="993300"/>
          </w:rPr>
          <w:fldChar w:fldCharType="end"/>
        </w:r>
      </w:hyperlink>
    </w:p>
    <w:p w:rsidR="00C314F3" w:rsidRPr="00C314F3" w:rsidRDefault="00FF3A5D">
      <w:pPr>
        <w:pStyle w:val="10"/>
        <w:rPr>
          <w:rFonts w:asciiTheme="minorHAnsi" w:hAnsiTheme="minorHAnsi" w:cstheme="minorBidi"/>
          <w:b w:val="0"/>
          <w:bCs w:val="0"/>
          <w:noProof/>
          <w:szCs w:val="22"/>
        </w:rPr>
      </w:pPr>
      <w:hyperlink w:anchor="_Toc389830949" w:history="1">
        <w:r w:rsidR="00C314F3" w:rsidRPr="00C314F3">
          <w:rPr>
            <w:rStyle w:val="a5"/>
            <w:rFonts w:ascii="宋体" w:hAnsi="宋体" w:hint="eastAsia"/>
            <w:noProof/>
            <w:color w:val="993300"/>
          </w:rPr>
          <w:t>第二部分</w:t>
        </w:r>
        <w:r w:rsidR="00C314F3" w:rsidRPr="00C314F3">
          <w:rPr>
            <w:rStyle w:val="a5"/>
            <w:rFonts w:ascii="宋体" w:hAnsi="宋体"/>
            <w:noProof/>
            <w:color w:val="993300"/>
          </w:rPr>
          <w:t xml:space="preserve">    </w:t>
        </w:r>
        <w:r w:rsidR="00C314F3" w:rsidRPr="00C314F3">
          <w:rPr>
            <w:rStyle w:val="a5"/>
            <w:rFonts w:ascii="宋体" w:hAnsi="宋体" w:hint="eastAsia"/>
            <w:noProof/>
            <w:color w:val="993300"/>
          </w:rPr>
          <w:t>锌基本面分析</w:t>
        </w:r>
        <w:r w:rsidR="00C314F3" w:rsidRPr="00C314F3">
          <w:rPr>
            <w:noProof/>
            <w:webHidden/>
          </w:rPr>
          <w:tab/>
        </w:r>
        <w:r w:rsidRPr="00C314F3">
          <w:rPr>
            <w:noProof/>
            <w:webHidden/>
          </w:rPr>
          <w:fldChar w:fldCharType="begin"/>
        </w:r>
        <w:r w:rsidR="00C314F3" w:rsidRPr="00C314F3">
          <w:rPr>
            <w:noProof/>
            <w:webHidden/>
          </w:rPr>
          <w:instrText xml:space="preserve"> PAGEREF _Toc389830949 \h </w:instrText>
        </w:r>
        <w:r w:rsidRPr="00C314F3">
          <w:rPr>
            <w:noProof/>
            <w:webHidden/>
          </w:rPr>
        </w:r>
        <w:r w:rsidRPr="00C314F3">
          <w:rPr>
            <w:noProof/>
            <w:webHidden/>
          </w:rPr>
          <w:fldChar w:fldCharType="separate"/>
        </w:r>
        <w:r w:rsidR="00C314F3" w:rsidRPr="00C314F3">
          <w:rPr>
            <w:noProof/>
            <w:webHidden/>
          </w:rPr>
          <w:t>4</w:t>
        </w:r>
        <w:r w:rsidRPr="00C314F3">
          <w:rPr>
            <w:noProof/>
            <w:webHidden/>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0" w:history="1">
        <w:r w:rsidR="00C314F3" w:rsidRPr="00C314F3">
          <w:rPr>
            <w:rStyle w:val="a5"/>
            <w:rFonts w:ascii="宋体" w:hAnsi="宋体"/>
            <w:noProof/>
            <w:color w:val="993300"/>
          </w:rPr>
          <w:t>1</w:t>
        </w:r>
        <w:r w:rsidR="00C314F3" w:rsidRPr="00C314F3">
          <w:rPr>
            <w:rStyle w:val="a5"/>
            <w:rFonts w:ascii="宋体" w:hAnsi="宋体" w:hint="eastAsia"/>
            <w:noProof/>
            <w:color w:val="993300"/>
          </w:rPr>
          <w:t>、全球精炼锌市场供需基本平衡</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_Toc389830950 \h </w:instrText>
        </w:r>
        <w:r w:rsidRPr="00C314F3">
          <w:rPr>
            <w:noProof/>
            <w:webHidden/>
            <w:color w:val="993300"/>
          </w:rPr>
        </w:r>
        <w:r w:rsidRPr="00C314F3">
          <w:rPr>
            <w:noProof/>
            <w:webHidden/>
            <w:color w:val="993300"/>
          </w:rPr>
          <w:fldChar w:fldCharType="separate"/>
        </w:r>
        <w:r w:rsidR="00C314F3" w:rsidRPr="00C314F3">
          <w:rPr>
            <w:noProof/>
            <w:webHidden/>
            <w:color w:val="993300"/>
          </w:rPr>
          <w:t>4</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1" w:history="1">
        <w:r w:rsidR="00C314F3" w:rsidRPr="00C314F3">
          <w:rPr>
            <w:rStyle w:val="a5"/>
            <w:rFonts w:ascii="宋体" w:hAnsi="宋体" w:hint="eastAsia"/>
            <w:noProof/>
            <w:color w:val="993300"/>
          </w:rPr>
          <w:t>2、</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全球锌市场供需展望</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_Toc389830951 \h </w:instrText>
        </w:r>
        <w:r w:rsidRPr="00C314F3">
          <w:rPr>
            <w:noProof/>
            <w:webHidden/>
            <w:color w:val="993300"/>
          </w:rPr>
        </w:r>
        <w:r w:rsidRPr="00C314F3">
          <w:rPr>
            <w:noProof/>
            <w:webHidden/>
            <w:color w:val="993300"/>
          </w:rPr>
          <w:fldChar w:fldCharType="separate"/>
        </w:r>
        <w:r w:rsidR="00C314F3" w:rsidRPr="00C314F3">
          <w:rPr>
            <w:noProof/>
            <w:webHidden/>
            <w:color w:val="993300"/>
          </w:rPr>
          <w:t>4</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2" w:history="1">
        <w:r w:rsidR="00C314F3" w:rsidRPr="00C314F3">
          <w:rPr>
            <w:rStyle w:val="a5"/>
            <w:rFonts w:ascii="宋体" w:hAnsi="宋体" w:hint="eastAsia"/>
            <w:noProof/>
            <w:color w:val="993300"/>
          </w:rPr>
          <w:t>3、</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交易所锌库存整体回落</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_Toc389830952 \h </w:instrText>
        </w:r>
        <w:r w:rsidRPr="00C314F3">
          <w:rPr>
            <w:noProof/>
            <w:webHidden/>
            <w:color w:val="993300"/>
          </w:rPr>
        </w:r>
        <w:r w:rsidRPr="00C314F3">
          <w:rPr>
            <w:noProof/>
            <w:webHidden/>
            <w:color w:val="993300"/>
          </w:rPr>
          <w:fldChar w:fldCharType="separate"/>
        </w:r>
        <w:r w:rsidR="00C314F3" w:rsidRPr="00C314F3">
          <w:rPr>
            <w:noProof/>
            <w:webHidden/>
            <w:color w:val="993300"/>
          </w:rPr>
          <w:t>5</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3" w:history="1">
        <w:r w:rsidR="00C314F3" w:rsidRPr="00C314F3">
          <w:rPr>
            <w:rStyle w:val="a5"/>
            <w:rFonts w:ascii="宋体" w:hAnsi="宋体" w:hint="eastAsia"/>
            <w:noProof/>
            <w:color w:val="993300"/>
          </w:rPr>
          <w:t>4、</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国内市场供应情况</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_Toc389830953 \h </w:instrText>
        </w:r>
        <w:r w:rsidRPr="00C314F3">
          <w:rPr>
            <w:noProof/>
            <w:webHidden/>
            <w:color w:val="993300"/>
          </w:rPr>
        </w:r>
        <w:r w:rsidRPr="00C314F3">
          <w:rPr>
            <w:noProof/>
            <w:webHidden/>
            <w:color w:val="993300"/>
          </w:rPr>
          <w:fldChar w:fldCharType="separate"/>
        </w:r>
        <w:r w:rsidR="00C314F3" w:rsidRPr="00C314F3">
          <w:rPr>
            <w:noProof/>
            <w:webHidden/>
            <w:color w:val="993300"/>
          </w:rPr>
          <w:t>5</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4" w:history="1">
        <w:r w:rsidR="00C314F3" w:rsidRPr="00C314F3">
          <w:rPr>
            <w:rStyle w:val="a5"/>
            <w:rFonts w:ascii="宋体" w:hAnsi="宋体" w:hint="eastAsia"/>
            <w:noProof/>
            <w:color w:val="993300"/>
          </w:rPr>
          <w:t>5、</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国内锌消费终端领域有所回暖</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_Toc389830954 \h </w:instrText>
        </w:r>
        <w:r w:rsidRPr="00C314F3">
          <w:rPr>
            <w:noProof/>
            <w:webHidden/>
            <w:color w:val="993300"/>
          </w:rPr>
        </w:r>
        <w:r w:rsidRPr="00C314F3">
          <w:rPr>
            <w:noProof/>
            <w:webHidden/>
            <w:color w:val="993300"/>
          </w:rPr>
          <w:fldChar w:fldCharType="separate"/>
        </w:r>
        <w:r w:rsidR="00C314F3" w:rsidRPr="00C314F3">
          <w:rPr>
            <w:noProof/>
            <w:webHidden/>
            <w:color w:val="993300"/>
          </w:rPr>
          <w:t>7</w:t>
        </w:r>
        <w:r w:rsidRPr="00C314F3">
          <w:rPr>
            <w:noProof/>
            <w:webHidden/>
            <w:color w:val="993300"/>
          </w:rPr>
          <w:fldChar w:fldCharType="end"/>
        </w:r>
      </w:hyperlink>
    </w:p>
    <w:p w:rsidR="00C314F3" w:rsidRPr="00C314F3" w:rsidRDefault="00FF3A5D">
      <w:pPr>
        <w:pStyle w:val="10"/>
        <w:rPr>
          <w:rFonts w:asciiTheme="minorHAnsi" w:hAnsiTheme="minorHAnsi" w:cstheme="minorBidi"/>
          <w:b w:val="0"/>
          <w:bCs w:val="0"/>
          <w:noProof/>
          <w:szCs w:val="22"/>
        </w:rPr>
      </w:pPr>
      <w:hyperlink w:anchor="_Toc389830955" w:history="1">
        <w:r w:rsidR="00C314F3" w:rsidRPr="00C314F3">
          <w:rPr>
            <w:rStyle w:val="a5"/>
            <w:rFonts w:ascii="宋体" w:hAnsi="宋体" w:hint="eastAsia"/>
            <w:noProof/>
            <w:color w:val="993300"/>
          </w:rPr>
          <w:t>第三部分</w:t>
        </w:r>
        <w:r w:rsidR="00C314F3" w:rsidRPr="00C314F3">
          <w:rPr>
            <w:rFonts w:asciiTheme="minorHAnsi" w:hAnsiTheme="minorHAnsi" w:cstheme="minorBidi"/>
            <w:b w:val="0"/>
            <w:bCs w:val="0"/>
            <w:noProof/>
            <w:szCs w:val="22"/>
          </w:rPr>
          <w:tab/>
        </w:r>
        <w:r w:rsidR="00C314F3" w:rsidRPr="00C314F3">
          <w:rPr>
            <w:rStyle w:val="a5"/>
            <w:rFonts w:ascii="宋体" w:hAnsi="宋体"/>
            <w:noProof/>
            <w:color w:val="993300"/>
          </w:rPr>
          <w:t xml:space="preserve"> </w:t>
        </w:r>
        <w:r w:rsidR="00C314F3" w:rsidRPr="00C314F3">
          <w:rPr>
            <w:rStyle w:val="a5"/>
            <w:rFonts w:ascii="宋体" w:hAnsi="宋体" w:hint="eastAsia"/>
            <w:noProof/>
            <w:color w:val="993300"/>
          </w:rPr>
          <w:t>铅基本面分析</w:t>
        </w:r>
        <w:r w:rsidR="00C314F3" w:rsidRPr="00C314F3">
          <w:rPr>
            <w:noProof/>
            <w:webHidden/>
          </w:rPr>
          <w:tab/>
        </w:r>
        <w:r w:rsidRPr="00C314F3">
          <w:rPr>
            <w:noProof/>
            <w:webHidden/>
          </w:rPr>
          <w:fldChar w:fldCharType="begin"/>
        </w:r>
        <w:r w:rsidR="00C314F3" w:rsidRPr="00C314F3">
          <w:rPr>
            <w:noProof/>
            <w:webHidden/>
          </w:rPr>
          <w:instrText xml:space="preserve"> PAGEREF _Toc389830955 \h </w:instrText>
        </w:r>
        <w:r w:rsidRPr="00C314F3">
          <w:rPr>
            <w:noProof/>
            <w:webHidden/>
          </w:rPr>
        </w:r>
        <w:r w:rsidRPr="00C314F3">
          <w:rPr>
            <w:noProof/>
            <w:webHidden/>
          </w:rPr>
          <w:fldChar w:fldCharType="separate"/>
        </w:r>
        <w:r w:rsidR="00C314F3" w:rsidRPr="00C314F3">
          <w:rPr>
            <w:noProof/>
            <w:webHidden/>
          </w:rPr>
          <w:t>10</w:t>
        </w:r>
        <w:r w:rsidRPr="00C314F3">
          <w:rPr>
            <w:noProof/>
            <w:webHidden/>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6" w:history="1">
        <w:r w:rsidR="00C314F3" w:rsidRPr="00C314F3">
          <w:rPr>
            <w:rStyle w:val="a5"/>
            <w:rFonts w:ascii="宋体" w:hAnsi="宋体" w:hint="eastAsia"/>
            <w:noProof/>
            <w:color w:val="993300"/>
          </w:rPr>
          <w:t>1、</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全球精炼铅市场延续供应偏紧格局</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_Toc389830956 \h </w:instrText>
        </w:r>
        <w:r w:rsidRPr="00C314F3">
          <w:rPr>
            <w:noProof/>
            <w:webHidden/>
            <w:color w:val="993300"/>
          </w:rPr>
        </w:r>
        <w:r w:rsidRPr="00C314F3">
          <w:rPr>
            <w:noProof/>
            <w:webHidden/>
            <w:color w:val="993300"/>
          </w:rPr>
          <w:fldChar w:fldCharType="separate"/>
        </w:r>
        <w:r w:rsidR="00C314F3" w:rsidRPr="00C314F3">
          <w:rPr>
            <w:noProof/>
            <w:webHidden/>
            <w:color w:val="993300"/>
          </w:rPr>
          <w:t>10</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7" w:history="1">
        <w:r w:rsidR="00C314F3" w:rsidRPr="00C314F3">
          <w:rPr>
            <w:rStyle w:val="a5"/>
            <w:rFonts w:ascii="宋体" w:hAnsi="宋体" w:hint="eastAsia"/>
            <w:noProof/>
            <w:color w:val="993300"/>
          </w:rPr>
          <w:t>2、</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交易所铅库存稳步回落</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_Toc389830957 \h </w:instrText>
        </w:r>
        <w:r w:rsidRPr="00C314F3">
          <w:rPr>
            <w:noProof/>
            <w:webHidden/>
            <w:color w:val="993300"/>
          </w:rPr>
        </w:r>
        <w:r w:rsidRPr="00C314F3">
          <w:rPr>
            <w:noProof/>
            <w:webHidden/>
            <w:color w:val="993300"/>
          </w:rPr>
          <w:fldChar w:fldCharType="separate"/>
        </w:r>
        <w:r w:rsidR="00C314F3" w:rsidRPr="00C314F3">
          <w:rPr>
            <w:noProof/>
            <w:webHidden/>
            <w:color w:val="993300"/>
          </w:rPr>
          <w:t>11</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8" w:history="1">
        <w:r w:rsidR="00C314F3" w:rsidRPr="00C314F3">
          <w:rPr>
            <w:rStyle w:val="a5"/>
            <w:rFonts w:ascii="宋体" w:hAnsi="宋体" w:hint="eastAsia"/>
            <w:noProof/>
            <w:color w:val="993300"/>
          </w:rPr>
          <w:t>3、</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noProof/>
            <w:color w:val="993300"/>
          </w:rPr>
          <w:t>2014</w:t>
        </w:r>
        <w:r w:rsidR="00C314F3" w:rsidRPr="00C314F3">
          <w:rPr>
            <w:rStyle w:val="a5"/>
            <w:rFonts w:ascii="宋体" w:hAnsi="宋体" w:hint="eastAsia"/>
            <w:noProof/>
            <w:color w:val="993300"/>
          </w:rPr>
          <w:t>年全球精铅供需展望</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_Toc389830958 \h </w:instrText>
        </w:r>
        <w:r w:rsidRPr="00C314F3">
          <w:rPr>
            <w:noProof/>
            <w:webHidden/>
            <w:color w:val="993300"/>
          </w:rPr>
        </w:r>
        <w:r w:rsidRPr="00C314F3">
          <w:rPr>
            <w:noProof/>
            <w:webHidden/>
            <w:color w:val="993300"/>
          </w:rPr>
          <w:fldChar w:fldCharType="separate"/>
        </w:r>
        <w:r w:rsidR="00C314F3" w:rsidRPr="00C314F3">
          <w:rPr>
            <w:noProof/>
            <w:webHidden/>
            <w:color w:val="993300"/>
          </w:rPr>
          <w:t>12</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59" w:history="1">
        <w:r w:rsidR="00C314F3" w:rsidRPr="00C314F3">
          <w:rPr>
            <w:rStyle w:val="a5"/>
            <w:rFonts w:ascii="宋体" w:hAnsi="宋体" w:hint="eastAsia"/>
            <w:noProof/>
            <w:color w:val="993300"/>
          </w:rPr>
          <w:t>4、</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国内市场供应情况</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_Toc389830959 \h </w:instrText>
        </w:r>
        <w:r w:rsidRPr="00C314F3">
          <w:rPr>
            <w:noProof/>
            <w:webHidden/>
            <w:color w:val="993300"/>
          </w:rPr>
        </w:r>
        <w:r w:rsidRPr="00C314F3">
          <w:rPr>
            <w:noProof/>
            <w:webHidden/>
            <w:color w:val="993300"/>
          </w:rPr>
          <w:fldChar w:fldCharType="separate"/>
        </w:r>
        <w:r w:rsidR="00C314F3" w:rsidRPr="00C314F3">
          <w:rPr>
            <w:noProof/>
            <w:webHidden/>
            <w:color w:val="993300"/>
          </w:rPr>
          <w:t>12</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60" w:history="1">
        <w:r w:rsidR="00C314F3" w:rsidRPr="00C314F3">
          <w:rPr>
            <w:rStyle w:val="a5"/>
            <w:rFonts w:ascii="宋体" w:hAnsi="宋体" w:hint="eastAsia"/>
            <w:noProof/>
            <w:color w:val="993300"/>
          </w:rPr>
          <w:t>5、</w:t>
        </w:r>
        <w:r w:rsidR="00C314F3" w:rsidRPr="00C314F3">
          <w:rPr>
            <w:rFonts w:asciiTheme="minorHAnsi" w:eastAsiaTheme="minorEastAsia" w:hAnsiTheme="minorHAnsi" w:cstheme="minorBidi"/>
            <w:noProof/>
            <w:color w:val="993300"/>
            <w:szCs w:val="22"/>
          </w:rPr>
          <w:tab/>
        </w:r>
        <w:r w:rsidR="00C314F3" w:rsidRPr="00C314F3">
          <w:rPr>
            <w:rStyle w:val="a5"/>
            <w:rFonts w:ascii="宋体" w:hAnsi="宋体" w:hint="eastAsia"/>
            <w:noProof/>
            <w:color w:val="993300"/>
          </w:rPr>
          <w:t>精铅消费增长强劲</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_Toc389830960 \h </w:instrText>
        </w:r>
        <w:r w:rsidRPr="00C314F3">
          <w:rPr>
            <w:noProof/>
            <w:webHidden/>
            <w:color w:val="993300"/>
          </w:rPr>
        </w:r>
        <w:r w:rsidRPr="00C314F3">
          <w:rPr>
            <w:noProof/>
            <w:webHidden/>
            <w:color w:val="993300"/>
          </w:rPr>
          <w:fldChar w:fldCharType="separate"/>
        </w:r>
        <w:r w:rsidR="00C314F3" w:rsidRPr="00C314F3">
          <w:rPr>
            <w:noProof/>
            <w:webHidden/>
            <w:color w:val="993300"/>
          </w:rPr>
          <w:t>14</w:t>
        </w:r>
        <w:r w:rsidRPr="00C314F3">
          <w:rPr>
            <w:noProof/>
            <w:webHidden/>
            <w:color w:val="993300"/>
          </w:rPr>
          <w:fldChar w:fldCharType="end"/>
        </w:r>
      </w:hyperlink>
    </w:p>
    <w:p w:rsidR="00C314F3" w:rsidRPr="00C314F3" w:rsidRDefault="00FF3A5D">
      <w:pPr>
        <w:pStyle w:val="10"/>
        <w:rPr>
          <w:rFonts w:asciiTheme="minorHAnsi" w:hAnsiTheme="minorHAnsi" w:cstheme="minorBidi"/>
          <w:b w:val="0"/>
          <w:bCs w:val="0"/>
          <w:noProof/>
          <w:szCs w:val="22"/>
        </w:rPr>
      </w:pPr>
      <w:hyperlink w:anchor="_Toc389830961" w:history="1">
        <w:r w:rsidR="00C314F3" w:rsidRPr="00C314F3">
          <w:rPr>
            <w:rStyle w:val="a5"/>
            <w:rFonts w:ascii="宋体" w:hAnsi="宋体" w:hint="eastAsia"/>
            <w:noProof/>
            <w:color w:val="993300"/>
          </w:rPr>
          <w:t>第四部分</w:t>
        </w:r>
        <w:r w:rsidR="00C314F3" w:rsidRPr="00C314F3">
          <w:rPr>
            <w:rFonts w:asciiTheme="minorHAnsi" w:hAnsiTheme="minorHAnsi" w:cstheme="minorBidi"/>
            <w:b w:val="0"/>
            <w:bCs w:val="0"/>
            <w:noProof/>
            <w:szCs w:val="22"/>
          </w:rPr>
          <w:tab/>
        </w:r>
        <w:r w:rsidR="00C314F3" w:rsidRPr="00C314F3">
          <w:rPr>
            <w:rStyle w:val="a5"/>
            <w:rFonts w:ascii="宋体" w:hAnsi="宋体"/>
            <w:noProof/>
            <w:color w:val="993300"/>
          </w:rPr>
          <w:t xml:space="preserve"> </w:t>
        </w:r>
        <w:r w:rsidR="00C314F3" w:rsidRPr="00C314F3">
          <w:rPr>
            <w:rStyle w:val="a5"/>
            <w:rFonts w:ascii="宋体" w:hAnsi="宋体" w:hint="eastAsia"/>
            <w:noProof/>
            <w:color w:val="993300"/>
          </w:rPr>
          <w:t>总结与后市展望</w:t>
        </w:r>
        <w:r w:rsidR="00C314F3" w:rsidRPr="00C314F3">
          <w:rPr>
            <w:noProof/>
            <w:webHidden/>
          </w:rPr>
          <w:tab/>
        </w:r>
        <w:r w:rsidRPr="00C314F3">
          <w:rPr>
            <w:noProof/>
            <w:webHidden/>
          </w:rPr>
          <w:fldChar w:fldCharType="begin"/>
        </w:r>
        <w:r w:rsidR="00C314F3" w:rsidRPr="00C314F3">
          <w:rPr>
            <w:noProof/>
            <w:webHidden/>
          </w:rPr>
          <w:instrText xml:space="preserve"> PAGEREF _Toc389830961 \h </w:instrText>
        </w:r>
        <w:r w:rsidRPr="00C314F3">
          <w:rPr>
            <w:noProof/>
            <w:webHidden/>
          </w:rPr>
        </w:r>
        <w:r w:rsidRPr="00C314F3">
          <w:rPr>
            <w:noProof/>
            <w:webHidden/>
          </w:rPr>
          <w:fldChar w:fldCharType="separate"/>
        </w:r>
        <w:r w:rsidR="00C314F3" w:rsidRPr="00C314F3">
          <w:rPr>
            <w:noProof/>
            <w:webHidden/>
          </w:rPr>
          <w:t>15</w:t>
        </w:r>
        <w:r w:rsidRPr="00C314F3">
          <w:rPr>
            <w:noProof/>
            <w:webHidden/>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62" w:history="1">
        <w:r w:rsidR="00C314F3" w:rsidRPr="00C314F3">
          <w:rPr>
            <w:rStyle w:val="a5"/>
            <w:rFonts w:ascii="宋体" w:hAnsi="宋体"/>
            <w:noProof/>
            <w:color w:val="993300"/>
          </w:rPr>
          <w:t>1</w:t>
        </w:r>
        <w:r w:rsidR="00C314F3" w:rsidRPr="00C314F3">
          <w:rPr>
            <w:rStyle w:val="a5"/>
            <w:rFonts w:ascii="宋体" w:hAnsi="宋体" w:hint="eastAsia"/>
            <w:noProof/>
            <w:color w:val="993300"/>
          </w:rPr>
          <w:t>、锌价展望</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_Toc389830962 \h </w:instrText>
        </w:r>
        <w:r w:rsidRPr="00C314F3">
          <w:rPr>
            <w:noProof/>
            <w:webHidden/>
            <w:color w:val="993300"/>
          </w:rPr>
        </w:r>
        <w:r w:rsidRPr="00C314F3">
          <w:rPr>
            <w:noProof/>
            <w:webHidden/>
            <w:color w:val="993300"/>
          </w:rPr>
          <w:fldChar w:fldCharType="separate"/>
        </w:r>
        <w:r w:rsidR="00C314F3" w:rsidRPr="00C314F3">
          <w:rPr>
            <w:noProof/>
            <w:webHidden/>
            <w:color w:val="993300"/>
          </w:rPr>
          <w:t>15</w:t>
        </w:r>
        <w:r w:rsidRPr="00C314F3">
          <w:rPr>
            <w:noProof/>
            <w:webHidden/>
            <w:color w:val="993300"/>
          </w:rPr>
          <w:fldChar w:fldCharType="end"/>
        </w:r>
      </w:hyperlink>
    </w:p>
    <w:p w:rsidR="00C314F3" w:rsidRPr="00C314F3" w:rsidRDefault="00FF3A5D">
      <w:pPr>
        <w:pStyle w:val="31"/>
        <w:rPr>
          <w:rFonts w:asciiTheme="minorHAnsi" w:eastAsiaTheme="minorEastAsia" w:hAnsiTheme="minorHAnsi" w:cstheme="minorBidi"/>
          <w:noProof/>
          <w:color w:val="993300"/>
          <w:szCs w:val="22"/>
        </w:rPr>
      </w:pPr>
      <w:hyperlink w:anchor="_Toc389830963" w:history="1">
        <w:r w:rsidR="00C314F3" w:rsidRPr="00C314F3">
          <w:rPr>
            <w:rStyle w:val="a5"/>
            <w:rFonts w:ascii="宋体" w:hAnsi="宋体"/>
            <w:noProof/>
            <w:color w:val="993300"/>
          </w:rPr>
          <w:t>2</w:t>
        </w:r>
        <w:r w:rsidR="00C314F3" w:rsidRPr="00C314F3">
          <w:rPr>
            <w:rStyle w:val="a5"/>
            <w:rFonts w:ascii="宋体" w:hAnsi="宋体" w:hint="eastAsia"/>
            <w:noProof/>
            <w:color w:val="993300"/>
          </w:rPr>
          <w:t>、铅价展望</w:t>
        </w:r>
        <w:r w:rsidR="00C314F3" w:rsidRPr="00C314F3">
          <w:rPr>
            <w:noProof/>
            <w:webHidden/>
            <w:color w:val="993300"/>
          </w:rPr>
          <w:tab/>
        </w:r>
        <w:r w:rsidRPr="00C314F3">
          <w:rPr>
            <w:noProof/>
            <w:webHidden/>
            <w:color w:val="993300"/>
          </w:rPr>
          <w:fldChar w:fldCharType="begin"/>
        </w:r>
        <w:r w:rsidR="00C314F3" w:rsidRPr="00C314F3">
          <w:rPr>
            <w:noProof/>
            <w:webHidden/>
            <w:color w:val="993300"/>
          </w:rPr>
          <w:instrText xml:space="preserve"> PAGEREF _Toc389830963 \h </w:instrText>
        </w:r>
        <w:r w:rsidRPr="00C314F3">
          <w:rPr>
            <w:noProof/>
            <w:webHidden/>
            <w:color w:val="993300"/>
          </w:rPr>
        </w:r>
        <w:r w:rsidRPr="00C314F3">
          <w:rPr>
            <w:noProof/>
            <w:webHidden/>
            <w:color w:val="993300"/>
          </w:rPr>
          <w:fldChar w:fldCharType="separate"/>
        </w:r>
        <w:r w:rsidR="00C314F3" w:rsidRPr="00C314F3">
          <w:rPr>
            <w:noProof/>
            <w:webHidden/>
            <w:color w:val="993300"/>
          </w:rPr>
          <w:t>15</w:t>
        </w:r>
        <w:r w:rsidRPr="00C314F3">
          <w:rPr>
            <w:noProof/>
            <w:webHidden/>
            <w:color w:val="993300"/>
          </w:rPr>
          <w:fldChar w:fldCharType="end"/>
        </w:r>
      </w:hyperlink>
    </w:p>
    <w:p w:rsidR="00330604" w:rsidRPr="00F55942" w:rsidRDefault="00FF3A5D" w:rsidP="00943228">
      <w:pPr>
        <w:topLinePunct/>
        <w:adjustRightInd w:val="0"/>
        <w:snapToGrid w:val="0"/>
        <w:spacing w:line="300" w:lineRule="auto"/>
        <w:jc w:val="center"/>
        <w:rPr>
          <w:rStyle w:val="a5"/>
          <w:rFonts w:asciiTheme="minorEastAsia" w:eastAsiaTheme="minorEastAsia" w:hAnsiTheme="minorEastAsia"/>
          <w:noProof/>
          <w:color w:val="993300"/>
          <w:sz w:val="21"/>
          <w:szCs w:val="21"/>
        </w:rPr>
      </w:pPr>
      <w:r w:rsidRPr="00C314F3">
        <w:rPr>
          <w:rStyle w:val="a5"/>
          <w:rFonts w:asciiTheme="minorEastAsia" w:eastAsiaTheme="minorEastAsia" w:hAnsiTheme="minorEastAsia"/>
          <w:noProof/>
          <w:color w:val="993300"/>
          <w:sz w:val="21"/>
          <w:szCs w:val="21"/>
        </w:rPr>
        <w:fldChar w:fldCharType="end"/>
      </w:r>
    </w:p>
    <w:p w:rsidR="00A340D4" w:rsidRDefault="00D51966" w:rsidP="00A0691B">
      <w:pPr>
        <w:topLinePunct/>
        <w:adjustRightInd w:val="0"/>
        <w:snapToGrid w:val="0"/>
        <w:spacing w:line="300" w:lineRule="auto"/>
        <w:jc w:val="center"/>
        <w:rPr>
          <w:noProof/>
          <w:color w:val="993300"/>
          <w:szCs w:val="21"/>
        </w:rPr>
      </w:pPr>
      <w:r w:rsidRPr="00A83677">
        <w:rPr>
          <w:noProof/>
          <w:color w:val="993300"/>
          <w:szCs w:val="21"/>
        </w:rPr>
        <w:t xml:space="preserve"> </w:t>
      </w:r>
    </w:p>
    <w:p w:rsidR="00943228" w:rsidRDefault="00943228" w:rsidP="00A0691B">
      <w:pPr>
        <w:topLinePunct/>
        <w:adjustRightInd w:val="0"/>
        <w:snapToGrid w:val="0"/>
        <w:spacing w:line="300" w:lineRule="auto"/>
        <w:jc w:val="center"/>
        <w:rPr>
          <w:noProof/>
          <w:color w:val="993300"/>
          <w:szCs w:val="21"/>
        </w:rPr>
      </w:pPr>
    </w:p>
    <w:p w:rsidR="00943228" w:rsidRPr="00A0691B" w:rsidRDefault="00943228" w:rsidP="00A0691B">
      <w:pPr>
        <w:topLinePunct/>
        <w:adjustRightInd w:val="0"/>
        <w:snapToGrid w:val="0"/>
        <w:spacing w:line="300" w:lineRule="auto"/>
        <w:jc w:val="center"/>
        <w:rPr>
          <w:noProof/>
          <w:color w:val="993300"/>
          <w:szCs w:val="21"/>
        </w:rPr>
      </w:pPr>
    </w:p>
    <w:p w:rsidR="00792116" w:rsidRDefault="00792116">
      <w:pPr>
        <w:widowControl/>
        <w:jc w:val="left"/>
        <w:rPr>
          <w:rFonts w:ascii="宋体" w:hAnsi="宋体"/>
          <w:b/>
          <w:bCs/>
          <w:color w:val="993300"/>
          <w:kern w:val="44"/>
          <w:sz w:val="32"/>
          <w:szCs w:val="32"/>
        </w:rPr>
      </w:pPr>
      <w:bookmarkStart w:id="124" w:name="_Toc274378941"/>
      <w:bookmarkStart w:id="125" w:name="_Toc329682352"/>
      <w:bookmarkStart w:id="126" w:name="_Toc340436162"/>
      <w:r>
        <w:rPr>
          <w:rFonts w:ascii="宋体" w:hAnsi="宋体"/>
          <w:color w:val="993300"/>
          <w:sz w:val="32"/>
          <w:szCs w:val="32"/>
        </w:rPr>
        <w:br w:type="page"/>
      </w:r>
    </w:p>
    <w:p w:rsidR="00E93F00" w:rsidRPr="0021792B" w:rsidRDefault="00E93F00" w:rsidP="0021792B">
      <w:pPr>
        <w:pStyle w:val="1"/>
        <w:spacing w:line="480" w:lineRule="auto"/>
        <w:rPr>
          <w:rFonts w:ascii="宋体" w:hAnsi="宋体"/>
          <w:color w:val="993300"/>
          <w:sz w:val="32"/>
          <w:szCs w:val="32"/>
        </w:rPr>
      </w:pPr>
      <w:bookmarkStart w:id="127" w:name="_Toc389830946"/>
      <w:r w:rsidRPr="0021792B">
        <w:rPr>
          <w:rFonts w:ascii="宋体" w:hAnsi="宋体"/>
          <w:color w:val="993300"/>
          <w:sz w:val="32"/>
          <w:szCs w:val="32"/>
        </w:rPr>
        <w:lastRenderedPageBreak/>
        <w:t xml:space="preserve">第一部分    </w:t>
      </w:r>
      <w:r w:rsidR="009034D9" w:rsidRPr="0021792B">
        <w:rPr>
          <w:rFonts w:ascii="宋体" w:hAnsi="宋体" w:hint="eastAsia"/>
          <w:color w:val="993300"/>
          <w:sz w:val="32"/>
          <w:szCs w:val="32"/>
        </w:rPr>
        <w:t>铅</w:t>
      </w:r>
      <w:r w:rsidR="000754AF" w:rsidRPr="0021792B">
        <w:rPr>
          <w:rFonts w:ascii="宋体" w:hAnsi="宋体" w:hint="eastAsia"/>
          <w:color w:val="993300"/>
          <w:sz w:val="32"/>
          <w:szCs w:val="32"/>
        </w:rPr>
        <w:t>锌</w:t>
      </w:r>
      <w:r w:rsidRPr="0021792B">
        <w:rPr>
          <w:rFonts w:ascii="宋体" w:hAnsi="宋体"/>
          <w:color w:val="993300"/>
          <w:sz w:val="32"/>
          <w:szCs w:val="32"/>
        </w:rPr>
        <w:t>市场</w:t>
      </w:r>
      <w:r w:rsidR="000754AF" w:rsidRPr="0021792B">
        <w:rPr>
          <w:rFonts w:ascii="宋体" w:hAnsi="宋体" w:hint="eastAsia"/>
          <w:color w:val="993300"/>
          <w:sz w:val="32"/>
          <w:szCs w:val="32"/>
        </w:rPr>
        <w:t>行情</w:t>
      </w:r>
      <w:r w:rsidRPr="0021792B">
        <w:rPr>
          <w:rFonts w:ascii="宋体" w:hAnsi="宋体"/>
          <w:color w:val="993300"/>
          <w:sz w:val="32"/>
          <w:szCs w:val="32"/>
        </w:rPr>
        <w:t>回顾</w:t>
      </w:r>
      <w:bookmarkEnd w:id="121"/>
      <w:bookmarkEnd w:id="124"/>
      <w:bookmarkEnd w:id="125"/>
      <w:bookmarkEnd w:id="126"/>
      <w:bookmarkEnd w:id="127"/>
    </w:p>
    <w:p w:rsidR="001C048F" w:rsidRDefault="000754AF" w:rsidP="00330604">
      <w:pPr>
        <w:pStyle w:val="3"/>
        <w:numPr>
          <w:ilvl w:val="0"/>
          <w:numId w:val="23"/>
        </w:numPr>
        <w:spacing w:line="360" w:lineRule="auto"/>
        <w:rPr>
          <w:rFonts w:ascii="宋体" w:hAnsi="宋体"/>
          <w:color w:val="993300"/>
          <w:sz w:val="21"/>
          <w:szCs w:val="21"/>
        </w:rPr>
      </w:pPr>
      <w:bookmarkStart w:id="128" w:name="_Toc274378942"/>
      <w:bookmarkStart w:id="129" w:name="_Toc329682353"/>
      <w:bookmarkStart w:id="130" w:name="_Toc340436163"/>
      <w:bookmarkStart w:id="131" w:name="_Toc389830947"/>
      <w:r w:rsidRPr="0021792B">
        <w:rPr>
          <w:rFonts w:ascii="宋体" w:hAnsi="宋体" w:hint="eastAsia"/>
          <w:color w:val="993300"/>
          <w:sz w:val="21"/>
          <w:szCs w:val="21"/>
        </w:rPr>
        <w:t>锌</w:t>
      </w:r>
      <w:r w:rsidR="001C048F" w:rsidRPr="0021792B">
        <w:rPr>
          <w:rFonts w:ascii="宋体" w:hAnsi="宋体"/>
          <w:color w:val="993300"/>
          <w:sz w:val="21"/>
          <w:szCs w:val="21"/>
        </w:rPr>
        <w:t>行情评述</w:t>
      </w:r>
      <w:bookmarkStart w:id="132" w:name="_Toc275257956"/>
      <w:bookmarkEnd w:id="122"/>
      <w:bookmarkEnd w:id="123"/>
      <w:bookmarkEnd w:id="128"/>
      <w:bookmarkEnd w:id="129"/>
      <w:bookmarkEnd w:id="130"/>
      <w:bookmarkEnd w:id="131"/>
    </w:p>
    <w:p w:rsidR="00792116" w:rsidRPr="00792116" w:rsidRDefault="003A64C5" w:rsidP="00792116">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2013年上半年</w:t>
      </w:r>
      <w:r w:rsidR="00DD3BC4">
        <w:rPr>
          <w:rFonts w:asciiTheme="minorEastAsia" w:eastAsiaTheme="minorEastAsia" w:hAnsiTheme="minorEastAsia" w:cs="宋体" w:hint="eastAsia"/>
          <w:color w:val="000000"/>
          <w:kern w:val="0"/>
          <w:sz w:val="22"/>
          <w:szCs w:val="22"/>
        </w:rPr>
        <w:t>LME锌价震荡走低，2月13日创下年内最高2230美元/吨后一路下挫，在5月15日触及1812美元/吨年内低位；下半年大部分时间在1810-2010美元/吨区间震荡，12月末因市场引发精矿供应的担忧上演一波逼空推高的行情</w:t>
      </w:r>
      <w:r w:rsidR="005C321A">
        <w:rPr>
          <w:rFonts w:asciiTheme="minorEastAsia" w:eastAsiaTheme="minorEastAsia" w:hAnsiTheme="minorEastAsia" w:cs="宋体" w:hint="eastAsia"/>
          <w:color w:val="000000"/>
          <w:kern w:val="0"/>
          <w:sz w:val="22"/>
          <w:szCs w:val="22"/>
        </w:rPr>
        <w:t>，</w:t>
      </w:r>
      <w:r w:rsidR="00F03290">
        <w:rPr>
          <w:rFonts w:asciiTheme="minorEastAsia" w:eastAsiaTheme="minorEastAsia" w:hAnsiTheme="minorEastAsia" w:cs="宋体" w:hint="eastAsia"/>
          <w:color w:val="000000"/>
          <w:kern w:val="0"/>
          <w:sz w:val="22"/>
          <w:szCs w:val="22"/>
        </w:rPr>
        <w:t>持续半个月的连续上涨行情突破了前期波动区间，最高触及2100美元/吨</w:t>
      </w:r>
      <w:r w:rsidR="00792116" w:rsidRPr="0011022B">
        <w:rPr>
          <w:rFonts w:asciiTheme="minorEastAsia" w:eastAsiaTheme="minorEastAsia" w:hAnsiTheme="minorEastAsia" w:cs="宋体" w:hint="eastAsia"/>
          <w:color w:val="000000"/>
          <w:kern w:val="0"/>
          <w:sz w:val="22"/>
          <w:szCs w:val="22"/>
        </w:rPr>
        <w:t>。</w:t>
      </w:r>
      <w:r w:rsidR="00F03290">
        <w:rPr>
          <w:rFonts w:asciiTheme="minorEastAsia" w:eastAsiaTheme="minorEastAsia" w:hAnsiTheme="minorEastAsia" w:cs="宋体" w:hint="eastAsia"/>
          <w:color w:val="000000"/>
          <w:kern w:val="0"/>
          <w:sz w:val="22"/>
          <w:szCs w:val="22"/>
        </w:rPr>
        <w:t>2014年</w:t>
      </w:r>
      <w:r w:rsidR="00727218">
        <w:rPr>
          <w:rFonts w:asciiTheme="minorEastAsia" w:eastAsiaTheme="minorEastAsia" w:hAnsiTheme="minorEastAsia" w:cs="宋体" w:hint="eastAsia"/>
          <w:color w:val="000000"/>
          <w:kern w:val="0"/>
          <w:sz w:val="22"/>
          <w:szCs w:val="22"/>
        </w:rPr>
        <w:t>1-5月</w:t>
      </w:r>
      <w:r w:rsidR="00F03290">
        <w:rPr>
          <w:rFonts w:asciiTheme="minorEastAsia" w:eastAsiaTheme="minorEastAsia" w:hAnsiTheme="minorEastAsia" w:cs="宋体" w:hint="eastAsia"/>
          <w:color w:val="000000"/>
          <w:kern w:val="0"/>
          <w:sz w:val="22"/>
          <w:szCs w:val="22"/>
        </w:rPr>
        <w:t>LME锌价则呈宽幅震荡格局，波动区间集中于1940-2140美元/吨。国内方面，沪锌主力合约基本跟随外盘走势，</w:t>
      </w:r>
      <w:r w:rsidR="00727218">
        <w:rPr>
          <w:rFonts w:asciiTheme="minorEastAsia" w:eastAsiaTheme="minorEastAsia" w:hAnsiTheme="minorEastAsia" w:cs="宋体" w:hint="eastAsia"/>
          <w:color w:val="000000"/>
          <w:kern w:val="0"/>
          <w:sz w:val="22"/>
          <w:szCs w:val="22"/>
        </w:rPr>
        <w:t>今年前五个月整体亦呈宽幅震荡格局，波动于14620-15465元/吨</w:t>
      </w:r>
      <w:r w:rsidR="00A33998">
        <w:rPr>
          <w:rFonts w:asciiTheme="minorEastAsia" w:eastAsiaTheme="minorEastAsia" w:hAnsiTheme="minorEastAsia" w:cs="宋体" w:hint="eastAsia"/>
          <w:color w:val="000000"/>
          <w:kern w:val="0"/>
          <w:sz w:val="22"/>
          <w:szCs w:val="22"/>
        </w:rPr>
        <w:t>区间范围内。</w:t>
      </w:r>
    </w:p>
    <w:p w:rsidR="00330604" w:rsidRPr="0042161F" w:rsidRDefault="00330604" w:rsidP="00330604">
      <w:pPr>
        <w:pStyle w:val="a8"/>
        <w:keepNext/>
        <w:jc w:val="center"/>
      </w:pPr>
      <w:r>
        <w:rPr>
          <w:rFonts w:hint="eastAsia"/>
        </w:rPr>
        <w:t>图表</w:t>
      </w:r>
      <w:r>
        <w:rPr>
          <w:rFonts w:hint="eastAsia"/>
        </w:rPr>
        <w:t xml:space="preserve"> 1 </w:t>
      </w:r>
      <w:r>
        <w:rPr>
          <w:rFonts w:hint="eastAsia"/>
        </w:rPr>
        <w:t>沪锌</w:t>
      </w:r>
      <w:r w:rsidR="00617F30">
        <w:rPr>
          <w:rFonts w:hint="eastAsia"/>
        </w:rPr>
        <w:t>主连</w:t>
      </w:r>
      <w:r>
        <w:rPr>
          <w:rFonts w:hint="eastAsia"/>
        </w:rPr>
        <w:t>及</w:t>
      </w:r>
      <w:r>
        <w:rPr>
          <w:rFonts w:hint="eastAsia"/>
        </w:rPr>
        <w:t>LME</w:t>
      </w:r>
      <w:r>
        <w:rPr>
          <w:rFonts w:hint="eastAsia"/>
        </w:rPr>
        <w:t>三月期锌走势</w:t>
      </w:r>
    </w:p>
    <w:tbl>
      <w:tblPr>
        <w:tblW w:w="11056" w:type="dxa"/>
        <w:jc w:val="center"/>
        <w:tblInd w:w="1061" w:type="dxa"/>
        <w:tblBorders>
          <w:top w:val="single" w:sz="12" w:space="0" w:color="C0504D"/>
          <w:bottom w:val="single" w:sz="12" w:space="0" w:color="C0504D"/>
          <w:insideH w:val="single" w:sz="4" w:space="0" w:color="auto"/>
        </w:tblBorders>
        <w:tblLayout w:type="fixed"/>
        <w:tblLook w:val="04A0"/>
      </w:tblPr>
      <w:tblGrid>
        <w:gridCol w:w="5528"/>
        <w:gridCol w:w="5528"/>
      </w:tblGrid>
      <w:tr w:rsidR="00330604" w:rsidTr="00C74723">
        <w:trPr>
          <w:trHeight w:val="3969"/>
          <w:jc w:val="center"/>
        </w:trPr>
        <w:tc>
          <w:tcPr>
            <w:tcW w:w="5528" w:type="dxa"/>
          </w:tcPr>
          <w:p w:rsidR="00330604" w:rsidRPr="009344A3" w:rsidRDefault="00BE5F3B" w:rsidP="00C74723">
            <w:pPr>
              <w:tabs>
                <w:tab w:val="left" w:pos="1493"/>
              </w:tabs>
              <w:ind w:leftChars="-238" w:left="-500" w:rightChars="90" w:right="189" w:firstLineChars="153" w:firstLine="367"/>
              <w:jc w:val="center"/>
              <w:rPr>
                <w:rFonts w:ascii="宋体" w:cs="宋体"/>
                <w:color w:val="002C57"/>
                <w:kern w:val="0"/>
                <w:sz w:val="24"/>
                <w:lang w:val="zh-CN"/>
              </w:rPr>
            </w:pPr>
            <w:r>
              <w:rPr>
                <w:rFonts w:ascii="宋体" w:cs="宋体"/>
                <w:noProof/>
                <w:color w:val="002C57"/>
                <w:kern w:val="0"/>
                <w:sz w:val="24"/>
              </w:rPr>
              <w:drawing>
                <wp:inline distT="0" distB="0" distL="0" distR="0">
                  <wp:extent cx="3492246" cy="2501799"/>
                  <wp:effectExtent l="1905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491957" cy="2501592"/>
                          </a:xfrm>
                          <a:prstGeom prst="rect">
                            <a:avLst/>
                          </a:prstGeom>
                          <a:noFill/>
                          <a:ln w="9525">
                            <a:noFill/>
                            <a:miter lim="800000"/>
                            <a:headEnd/>
                            <a:tailEnd/>
                          </a:ln>
                        </pic:spPr>
                      </pic:pic>
                    </a:graphicData>
                  </a:graphic>
                </wp:inline>
              </w:drawing>
            </w:r>
          </w:p>
        </w:tc>
        <w:tc>
          <w:tcPr>
            <w:tcW w:w="5528" w:type="dxa"/>
          </w:tcPr>
          <w:p w:rsidR="00330604" w:rsidRPr="009344A3" w:rsidRDefault="003A64C5" w:rsidP="00CA6F66">
            <w:pPr>
              <w:ind w:leftChars="-82" w:left="-172" w:rightChars="-90" w:right="-189"/>
              <w:jc w:val="center"/>
              <w:rPr>
                <w:rFonts w:ascii="宋体" w:cs="宋体"/>
                <w:color w:val="002C57"/>
                <w:kern w:val="0"/>
                <w:sz w:val="24"/>
                <w:lang w:val="zh-CN"/>
              </w:rPr>
            </w:pPr>
            <w:r>
              <w:rPr>
                <w:rFonts w:ascii="宋体" w:cs="宋体"/>
                <w:noProof/>
                <w:color w:val="002C57"/>
                <w:kern w:val="0"/>
                <w:sz w:val="24"/>
              </w:rPr>
              <w:drawing>
                <wp:inline distT="0" distB="0" distL="0" distR="0">
                  <wp:extent cx="3404661" cy="2494484"/>
                  <wp:effectExtent l="19050" t="0" r="5289"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404805" cy="2494589"/>
                          </a:xfrm>
                          <a:prstGeom prst="rect">
                            <a:avLst/>
                          </a:prstGeom>
                          <a:noFill/>
                          <a:ln w="9525">
                            <a:noFill/>
                            <a:miter lim="800000"/>
                            <a:headEnd/>
                            <a:tailEnd/>
                          </a:ln>
                        </pic:spPr>
                      </pic:pic>
                    </a:graphicData>
                  </a:graphic>
                </wp:inline>
              </w:drawing>
            </w:r>
          </w:p>
        </w:tc>
      </w:tr>
    </w:tbl>
    <w:p w:rsidR="00D431AD" w:rsidRDefault="001863D2" w:rsidP="00792116">
      <w:pPr>
        <w:topLinePunct/>
        <w:adjustRightInd w:val="0"/>
        <w:snapToGrid w:val="0"/>
        <w:spacing w:line="300" w:lineRule="auto"/>
        <w:jc w:val="left"/>
        <w:rPr>
          <w:rFonts w:hAnsi="宋体"/>
          <w:bCs/>
          <w:color w:val="993300"/>
          <w:sz w:val="18"/>
          <w:szCs w:val="18"/>
        </w:rPr>
      </w:pPr>
      <w:r w:rsidRPr="00A83677">
        <w:rPr>
          <w:rFonts w:hAnsi="宋体"/>
          <w:bCs/>
          <w:color w:val="993300"/>
          <w:sz w:val="18"/>
          <w:szCs w:val="18"/>
        </w:rPr>
        <w:t>资料来源：</w:t>
      </w:r>
      <w:r w:rsidR="006F797B">
        <w:rPr>
          <w:rFonts w:hAnsi="宋体" w:hint="eastAsia"/>
          <w:bCs/>
          <w:color w:val="993300"/>
          <w:sz w:val="18"/>
          <w:szCs w:val="18"/>
        </w:rPr>
        <w:t>文华财经</w:t>
      </w:r>
      <w:r w:rsidRPr="00A83677">
        <w:rPr>
          <w:rFonts w:hAnsi="宋体"/>
          <w:bCs/>
          <w:color w:val="993300"/>
          <w:sz w:val="18"/>
          <w:szCs w:val="18"/>
        </w:rPr>
        <w:t>，</w:t>
      </w:r>
      <w:r w:rsidR="0076572A">
        <w:rPr>
          <w:rFonts w:hAnsi="宋体" w:hint="eastAsia"/>
          <w:bCs/>
          <w:color w:val="993300"/>
          <w:sz w:val="18"/>
          <w:szCs w:val="18"/>
        </w:rPr>
        <w:t>博易大师，</w:t>
      </w:r>
      <w:r w:rsidRPr="00A83677">
        <w:rPr>
          <w:rFonts w:hAnsi="宋体"/>
          <w:bCs/>
          <w:color w:val="993300"/>
          <w:sz w:val="18"/>
          <w:szCs w:val="18"/>
        </w:rPr>
        <w:t>金源期货</w:t>
      </w:r>
      <w:bookmarkStart w:id="133" w:name="_Toc227922501"/>
    </w:p>
    <w:p w:rsidR="00580C90" w:rsidRPr="0083108E" w:rsidRDefault="00580C90" w:rsidP="00580C90">
      <w:pPr>
        <w:pStyle w:val="a8"/>
        <w:keepNext/>
        <w:jc w:val="center"/>
      </w:pPr>
      <w:r w:rsidRPr="0083108E">
        <w:rPr>
          <w:rFonts w:hint="eastAsia"/>
        </w:rPr>
        <w:t>表</w:t>
      </w:r>
      <w:r>
        <w:rPr>
          <w:rFonts w:hint="eastAsia"/>
        </w:rPr>
        <w:t>1</w:t>
      </w:r>
      <w:r w:rsidRPr="0083108E">
        <w:rPr>
          <w:rFonts w:hint="eastAsia"/>
        </w:rPr>
        <w:t xml:space="preserve"> </w:t>
      </w:r>
      <w:r w:rsidRPr="0083108E">
        <w:rPr>
          <w:rFonts w:hint="eastAsia"/>
        </w:rPr>
        <w:t>国内外精</w:t>
      </w:r>
      <w:r w:rsidR="007E5062">
        <w:rPr>
          <w:rFonts w:hint="eastAsia"/>
        </w:rPr>
        <w:t>锌</w:t>
      </w:r>
      <w:r w:rsidRPr="0083108E">
        <w:rPr>
          <w:rFonts w:hint="eastAsia"/>
        </w:rPr>
        <w:t>价格</w:t>
      </w:r>
    </w:p>
    <w:tbl>
      <w:tblPr>
        <w:tblStyle w:val="a7"/>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4A0"/>
      </w:tblPr>
      <w:tblGrid>
        <w:gridCol w:w="1281"/>
        <w:gridCol w:w="1265"/>
        <w:gridCol w:w="1265"/>
        <w:gridCol w:w="1294"/>
        <w:gridCol w:w="1294"/>
        <w:gridCol w:w="1113"/>
        <w:gridCol w:w="1113"/>
      </w:tblGrid>
      <w:tr w:rsidR="007E5062" w:rsidTr="007E5062">
        <w:tc>
          <w:tcPr>
            <w:tcW w:w="1281" w:type="dxa"/>
            <w:vMerge w:val="restart"/>
          </w:tcPr>
          <w:p w:rsidR="007E5062" w:rsidRPr="007E5062" w:rsidRDefault="007E5062" w:rsidP="009056BA">
            <w:pPr>
              <w:topLinePunct/>
              <w:adjustRightInd w:val="0"/>
              <w:snapToGrid w:val="0"/>
              <w:spacing w:beforeLines="50" w:line="360" w:lineRule="auto"/>
              <w:jc w:val="center"/>
              <w:rPr>
                <w:b/>
                <w:bCs/>
                <w:sz w:val="18"/>
                <w:szCs w:val="18"/>
              </w:rPr>
            </w:pPr>
            <w:r w:rsidRPr="007E5062">
              <w:rPr>
                <w:rFonts w:hint="eastAsia"/>
                <w:b/>
                <w:bCs/>
                <w:sz w:val="18"/>
                <w:szCs w:val="18"/>
              </w:rPr>
              <w:t>时间</w:t>
            </w:r>
          </w:p>
        </w:tc>
        <w:tc>
          <w:tcPr>
            <w:tcW w:w="1265" w:type="dxa"/>
          </w:tcPr>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LME</w:t>
            </w:r>
          </w:p>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三月期货</w:t>
            </w:r>
          </w:p>
        </w:tc>
        <w:tc>
          <w:tcPr>
            <w:tcW w:w="1265" w:type="dxa"/>
          </w:tcPr>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LME</w:t>
            </w:r>
          </w:p>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现货</w:t>
            </w:r>
          </w:p>
        </w:tc>
        <w:tc>
          <w:tcPr>
            <w:tcW w:w="1294" w:type="dxa"/>
          </w:tcPr>
          <w:p w:rsidR="007E5062" w:rsidRPr="007E5062" w:rsidRDefault="007E5062" w:rsidP="007E5062">
            <w:pPr>
              <w:topLinePunct/>
              <w:adjustRightInd w:val="0"/>
              <w:snapToGrid w:val="0"/>
              <w:spacing w:line="300" w:lineRule="auto"/>
              <w:jc w:val="center"/>
              <w:rPr>
                <w:b/>
                <w:bCs/>
                <w:sz w:val="18"/>
                <w:szCs w:val="18"/>
              </w:rPr>
            </w:pPr>
            <w:r w:rsidRPr="007E5062">
              <w:rPr>
                <w:rFonts w:hint="eastAsia"/>
                <w:b/>
                <w:bCs/>
                <w:sz w:val="18"/>
                <w:szCs w:val="18"/>
              </w:rPr>
              <w:t>沪锌</w:t>
            </w:r>
          </w:p>
          <w:p w:rsidR="007E5062" w:rsidRPr="007E5062" w:rsidRDefault="007E5062" w:rsidP="007E5062">
            <w:pPr>
              <w:topLinePunct/>
              <w:adjustRightInd w:val="0"/>
              <w:snapToGrid w:val="0"/>
              <w:spacing w:line="300" w:lineRule="auto"/>
              <w:jc w:val="center"/>
              <w:rPr>
                <w:b/>
                <w:bCs/>
                <w:sz w:val="18"/>
                <w:szCs w:val="18"/>
              </w:rPr>
            </w:pPr>
            <w:r w:rsidRPr="007E5062">
              <w:rPr>
                <w:rFonts w:hint="eastAsia"/>
                <w:b/>
                <w:bCs/>
                <w:sz w:val="18"/>
                <w:szCs w:val="18"/>
              </w:rPr>
              <w:t>主力合约</w:t>
            </w:r>
          </w:p>
        </w:tc>
        <w:tc>
          <w:tcPr>
            <w:tcW w:w="1294" w:type="dxa"/>
          </w:tcPr>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国内现货</w:t>
            </w:r>
          </w:p>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市场报价</w:t>
            </w:r>
          </w:p>
        </w:tc>
        <w:tc>
          <w:tcPr>
            <w:tcW w:w="1113" w:type="dxa"/>
          </w:tcPr>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LME</w:t>
            </w:r>
          </w:p>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库存</w:t>
            </w:r>
          </w:p>
        </w:tc>
        <w:tc>
          <w:tcPr>
            <w:tcW w:w="1113" w:type="dxa"/>
          </w:tcPr>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SHFE</w:t>
            </w:r>
          </w:p>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库存</w:t>
            </w:r>
          </w:p>
        </w:tc>
      </w:tr>
      <w:tr w:rsidR="007E5062" w:rsidTr="007E5062">
        <w:tc>
          <w:tcPr>
            <w:tcW w:w="1281" w:type="dxa"/>
            <w:vMerge/>
          </w:tcPr>
          <w:p w:rsidR="007E5062" w:rsidRPr="007E5062" w:rsidRDefault="007E5062" w:rsidP="00580C90">
            <w:pPr>
              <w:topLinePunct/>
              <w:adjustRightInd w:val="0"/>
              <w:snapToGrid w:val="0"/>
              <w:spacing w:line="300" w:lineRule="auto"/>
              <w:jc w:val="left"/>
              <w:rPr>
                <w:b/>
                <w:bCs/>
                <w:sz w:val="18"/>
                <w:szCs w:val="18"/>
              </w:rPr>
            </w:pPr>
          </w:p>
        </w:tc>
        <w:tc>
          <w:tcPr>
            <w:tcW w:w="1265" w:type="dxa"/>
          </w:tcPr>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（美元</w:t>
            </w:r>
            <w:r w:rsidRPr="007E5062">
              <w:rPr>
                <w:rFonts w:hint="eastAsia"/>
                <w:b/>
                <w:bCs/>
                <w:sz w:val="18"/>
                <w:szCs w:val="18"/>
              </w:rPr>
              <w:t>/</w:t>
            </w:r>
            <w:r w:rsidRPr="007E5062">
              <w:rPr>
                <w:rFonts w:hint="eastAsia"/>
                <w:b/>
                <w:bCs/>
                <w:sz w:val="18"/>
                <w:szCs w:val="18"/>
              </w:rPr>
              <w:t>吨）</w:t>
            </w:r>
          </w:p>
        </w:tc>
        <w:tc>
          <w:tcPr>
            <w:tcW w:w="1265" w:type="dxa"/>
          </w:tcPr>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（美元</w:t>
            </w:r>
            <w:r w:rsidRPr="007E5062">
              <w:rPr>
                <w:rFonts w:hint="eastAsia"/>
                <w:b/>
                <w:bCs/>
                <w:sz w:val="18"/>
                <w:szCs w:val="18"/>
              </w:rPr>
              <w:t>/</w:t>
            </w:r>
            <w:r w:rsidRPr="007E5062">
              <w:rPr>
                <w:rFonts w:hint="eastAsia"/>
                <w:b/>
                <w:bCs/>
                <w:sz w:val="18"/>
                <w:szCs w:val="18"/>
              </w:rPr>
              <w:t>吨）</w:t>
            </w:r>
          </w:p>
        </w:tc>
        <w:tc>
          <w:tcPr>
            <w:tcW w:w="1294" w:type="dxa"/>
          </w:tcPr>
          <w:p w:rsidR="007E5062" w:rsidRPr="007E5062" w:rsidRDefault="007E5062" w:rsidP="00580C90">
            <w:pPr>
              <w:topLinePunct/>
              <w:adjustRightInd w:val="0"/>
              <w:snapToGrid w:val="0"/>
              <w:spacing w:line="300" w:lineRule="auto"/>
              <w:jc w:val="center"/>
              <w:rPr>
                <w:b/>
                <w:bCs/>
                <w:sz w:val="18"/>
                <w:szCs w:val="18"/>
              </w:rPr>
            </w:pPr>
            <w:r w:rsidRPr="007E5062">
              <w:rPr>
                <w:rFonts w:hint="eastAsia"/>
                <w:b/>
                <w:bCs/>
                <w:sz w:val="18"/>
                <w:szCs w:val="18"/>
              </w:rPr>
              <w:t>（元</w:t>
            </w:r>
            <w:r w:rsidRPr="007E5062">
              <w:rPr>
                <w:rFonts w:hint="eastAsia"/>
                <w:b/>
                <w:bCs/>
                <w:sz w:val="18"/>
                <w:szCs w:val="18"/>
              </w:rPr>
              <w:t>/</w:t>
            </w:r>
            <w:r w:rsidRPr="007E5062">
              <w:rPr>
                <w:rFonts w:hint="eastAsia"/>
                <w:b/>
                <w:bCs/>
                <w:sz w:val="18"/>
                <w:szCs w:val="18"/>
              </w:rPr>
              <w:t>吨）</w:t>
            </w:r>
          </w:p>
        </w:tc>
        <w:tc>
          <w:tcPr>
            <w:tcW w:w="1294" w:type="dxa"/>
          </w:tcPr>
          <w:p w:rsidR="007E5062" w:rsidRPr="007E5062" w:rsidRDefault="007E5062" w:rsidP="007E5062">
            <w:pPr>
              <w:topLinePunct/>
              <w:adjustRightInd w:val="0"/>
              <w:snapToGrid w:val="0"/>
              <w:spacing w:line="300" w:lineRule="auto"/>
              <w:jc w:val="center"/>
              <w:rPr>
                <w:b/>
                <w:bCs/>
                <w:sz w:val="18"/>
                <w:szCs w:val="18"/>
              </w:rPr>
            </w:pPr>
            <w:r w:rsidRPr="007E5062">
              <w:rPr>
                <w:rFonts w:hint="eastAsia"/>
                <w:b/>
                <w:bCs/>
                <w:sz w:val="18"/>
                <w:szCs w:val="18"/>
              </w:rPr>
              <w:t>（</w:t>
            </w:r>
            <w:r w:rsidRPr="007E5062">
              <w:rPr>
                <w:rFonts w:hint="eastAsia"/>
                <w:b/>
                <w:bCs/>
                <w:sz w:val="18"/>
                <w:szCs w:val="18"/>
              </w:rPr>
              <w:t>0#</w:t>
            </w:r>
            <w:r w:rsidRPr="007E5062">
              <w:rPr>
                <w:rFonts w:hint="eastAsia"/>
                <w:b/>
                <w:bCs/>
                <w:sz w:val="18"/>
                <w:szCs w:val="18"/>
              </w:rPr>
              <w:t>元</w:t>
            </w:r>
            <w:r w:rsidRPr="007E5062">
              <w:rPr>
                <w:rFonts w:hint="eastAsia"/>
                <w:b/>
                <w:bCs/>
                <w:sz w:val="18"/>
                <w:szCs w:val="18"/>
              </w:rPr>
              <w:t>/</w:t>
            </w:r>
            <w:r w:rsidRPr="007E5062">
              <w:rPr>
                <w:rFonts w:hint="eastAsia"/>
                <w:b/>
                <w:bCs/>
                <w:sz w:val="18"/>
                <w:szCs w:val="18"/>
              </w:rPr>
              <w:t>吨）</w:t>
            </w:r>
          </w:p>
        </w:tc>
        <w:tc>
          <w:tcPr>
            <w:tcW w:w="1113" w:type="dxa"/>
          </w:tcPr>
          <w:p w:rsidR="007E5062" w:rsidRPr="007E5062" w:rsidRDefault="007E5062" w:rsidP="007E5062">
            <w:pPr>
              <w:topLinePunct/>
              <w:adjustRightInd w:val="0"/>
              <w:snapToGrid w:val="0"/>
              <w:spacing w:line="300" w:lineRule="auto"/>
              <w:jc w:val="center"/>
              <w:rPr>
                <w:b/>
                <w:bCs/>
                <w:sz w:val="18"/>
                <w:szCs w:val="18"/>
              </w:rPr>
            </w:pPr>
            <w:r w:rsidRPr="007E5062">
              <w:rPr>
                <w:rFonts w:hint="eastAsia"/>
                <w:b/>
                <w:bCs/>
                <w:sz w:val="18"/>
                <w:szCs w:val="18"/>
              </w:rPr>
              <w:t>（吨）</w:t>
            </w:r>
          </w:p>
        </w:tc>
        <w:tc>
          <w:tcPr>
            <w:tcW w:w="1113" w:type="dxa"/>
          </w:tcPr>
          <w:p w:rsidR="007E5062" w:rsidRPr="007E5062" w:rsidRDefault="007E5062" w:rsidP="007E5062">
            <w:pPr>
              <w:topLinePunct/>
              <w:adjustRightInd w:val="0"/>
              <w:snapToGrid w:val="0"/>
              <w:spacing w:line="300" w:lineRule="auto"/>
              <w:jc w:val="center"/>
              <w:rPr>
                <w:b/>
                <w:bCs/>
                <w:sz w:val="18"/>
                <w:szCs w:val="18"/>
              </w:rPr>
            </w:pPr>
            <w:r w:rsidRPr="007E5062">
              <w:rPr>
                <w:rFonts w:hint="eastAsia"/>
                <w:b/>
                <w:bCs/>
                <w:sz w:val="18"/>
                <w:szCs w:val="18"/>
              </w:rPr>
              <w:t>（吨）</w:t>
            </w:r>
          </w:p>
        </w:tc>
      </w:tr>
      <w:tr w:rsidR="007E5062" w:rsidTr="007E5062">
        <w:tc>
          <w:tcPr>
            <w:tcW w:w="1281" w:type="dxa"/>
          </w:tcPr>
          <w:p w:rsidR="007E5062" w:rsidRPr="0083108E" w:rsidRDefault="007E5062" w:rsidP="007E5062">
            <w:pPr>
              <w:topLinePunct/>
              <w:adjustRightInd w:val="0"/>
              <w:snapToGrid w:val="0"/>
              <w:spacing w:line="300" w:lineRule="auto"/>
              <w:jc w:val="center"/>
              <w:rPr>
                <w:bCs/>
                <w:sz w:val="18"/>
                <w:szCs w:val="18"/>
              </w:rPr>
            </w:pPr>
            <w:r w:rsidRPr="0083108E">
              <w:rPr>
                <w:rFonts w:hint="eastAsia"/>
                <w:bCs/>
                <w:sz w:val="18"/>
                <w:szCs w:val="18"/>
              </w:rPr>
              <w:t>20</w:t>
            </w:r>
            <w:r>
              <w:rPr>
                <w:rFonts w:hint="eastAsia"/>
                <w:bCs/>
                <w:sz w:val="18"/>
                <w:szCs w:val="18"/>
              </w:rPr>
              <w:t>09</w:t>
            </w:r>
            <w:r w:rsidRPr="0083108E">
              <w:rPr>
                <w:rFonts w:hint="eastAsia"/>
                <w:bCs/>
                <w:sz w:val="18"/>
                <w:szCs w:val="18"/>
              </w:rPr>
              <w:t>年平均</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1680</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1655</w:t>
            </w:r>
          </w:p>
        </w:tc>
        <w:tc>
          <w:tcPr>
            <w:tcW w:w="1294"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21375</w:t>
            </w:r>
          </w:p>
        </w:tc>
        <w:tc>
          <w:tcPr>
            <w:tcW w:w="1294"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13740</w:t>
            </w:r>
          </w:p>
        </w:tc>
        <w:tc>
          <w:tcPr>
            <w:tcW w:w="1113"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486275</w:t>
            </w:r>
          </w:p>
        </w:tc>
        <w:tc>
          <w:tcPr>
            <w:tcW w:w="1113"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171900</w:t>
            </w:r>
          </w:p>
        </w:tc>
      </w:tr>
      <w:tr w:rsidR="007E5062" w:rsidTr="007E5062">
        <w:tc>
          <w:tcPr>
            <w:tcW w:w="1281" w:type="dxa"/>
          </w:tcPr>
          <w:p w:rsidR="007E5062" w:rsidRPr="0083108E" w:rsidRDefault="007E5062" w:rsidP="00580C90">
            <w:pPr>
              <w:topLinePunct/>
              <w:adjustRightInd w:val="0"/>
              <w:snapToGrid w:val="0"/>
              <w:spacing w:line="300" w:lineRule="auto"/>
              <w:jc w:val="center"/>
              <w:rPr>
                <w:bCs/>
                <w:sz w:val="18"/>
                <w:szCs w:val="18"/>
              </w:rPr>
            </w:pPr>
            <w:r w:rsidRPr="0083108E">
              <w:rPr>
                <w:rFonts w:hint="eastAsia"/>
                <w:bCs/>
                <w:sz w:val="18"/>
                <w:szCs w:val="18"/>
              </w:rPr>
              <w:t>2010</w:t>
            </w:r>
            <w:r w:rsidRPr="0083108E">
              <w:rPr>
                <w:rFonts w:hint="eastAsia"/>
                <w:bCs/>
                <w:sz w:val="18"/>
                <w:szCs w:val="18"/>
              </w:rPr>
              <w:t>年平均</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2186</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2160</w:t>
            </w:r>
          </w:p>
        </w:tc>
        <w:tc>
          <w:tcPr>
            <w:tcW w:w="1294"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19695</w:t>
            </w:r>
          </w:p>
        </w:tc>
        <w:tc>
          <w:tcPr>
            <w:tcW w:w="1294"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17362</w:t>
            </w:r>
          </w:p>
        </w:tc>
        <w:tc>
          <w:tcPr>
            <w:tcW w:w="1113"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701425</w:t>
            </w:r>
          </w:p>
        </w:tc>
        <w:tc>
          <w:tcPr>
            <w:tcW w:w="1113"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310735</w:t>
            </w:r>
          </w:p>
        </w:tc>
      </w:tr>
      <w:tr w:rsidR="007E5062" w:rsidTr="007E5062">
        <w:tc>
          <w:tcPr>
            <w:tcW w:w="1281" w:type="dxa"/>
          </w:tcPr>
          <w:p w:rsidR="007E5062" w:rsidRPr="0083108E" w:rsidRDefault="007E5062" w:rsidP="00580C90">
            <w:pPr>
              <w:topLinePunct/>
              <w:adjustRightInd w:val="0"/>
              <w:snapToGrid w:val="0"/>
              <w:spacing w:line="300" w:lineRule="auto"/>
              <w:jc w:val="center"/>
              <w:rPr>
                <w:bCs/>
                <w:sz w:val="18"/>
                <w:szCs w:val="18"/>
              </w:rPr>
            </w:pPr>
            <w:r w:rsidRPr="0083108E">
              <w:rPr>
                <w:rFonts w:hint="eastAsia"/>
                <w:bCs/>
                <w:sz w:val="18"/>
                <w:szCs w:val="18"/>
              </w:rPr>
              <w:t>2011</w:t>
            </w:r>
            <w:r w:rsidRPr="0083108E">
              <w:rPr>
                <w:rFonts w:hint="eastAsia"/>
                <w:bCs/>
                <w:sz w:val="18"/>
                <w:szCs w:val="18"/>
              </w:rPr>
              <w:t>年平均</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2212</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2192</w:t>
            </w:r>
          </w:p>
        </w:tc>
        <w:tc>
          <w:tcPr>
            <w:tcW w:w="1294"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17028</w:t>
            </w:r>
          </w:p>
        </w:tc>
        <w:tc>
          <w:tcPr>
            <w:tcW w:w="1294" w:type="dxa"/>
          </w:tcPr>
          <w:p w:rsidR="007E5062" w:rsidRPr="0083108E" w:rsidRDefault="007E5062" w:rsidP="007E5062">
            <w:pPr>
              <w:topLinePunct/>
              <w:adjustRightInd w:val="0"/>
              <w:snapToGrid w:val="0"/>
              <w:spacing w:line="300" w:lineRule="auto"/>
              <w:jc w:val="center"/>
              <w:rPr>
                <w:bCs/>
                <w:sz w:val="18"/>
                <w:szCs w:val="18"/>
              </w:rPr>
            </w:pPr>
            <w:r w:rsidRPr="0083108E">
              <w:rPr>
                <w:rFonts w:hint="eastAsia"/>
                <w:bCs/>
                <w:sz w:val="18"/>
                <w:szCs w:val="18"/>
              </w:rPr>
              <w:t>16</w:t>
            </w:r>
            <w:r>
              <w:rPr>
                <w:rFonts w:hint="eastAsia"/>
                <w:bCs/>
                <w:sz w:val="18"/>
                <w:szCs w:val="18"/>
              </w:rPr>
              <w:t>876</w:t>
            </w:r>
          </w:p>
        </w:tc>
        <w:tc>
          <w:tcPr>
            <w:tcW w:w="1113"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821700</w:t>
            </w:r>
          </w:p>
        </w:tc>
        <w:tc>
          <w:tcPr>
            <w:tcW w:w="1113"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364186</w:t>
            </w:r>
          </w:p>
        </w:tc>
      </w:tr>
      <w:tr w:rsidR="007E5062" w:rsidTr="007E5062">
        <w:tc>
          <w:tcPr>
            <w:tcW w:w="1281" w:type="dxa"/>
          </w:tcPr>
          <w:p w:rsidR="007E5062" w:rsidRPr="0083108E" w:rsidRDefault="007E5062" w:rsidP="00580C90">
            <w:pPr>
              <w:topLinePunct/>
              <w:adjustRightInd w:val="0"/>
              <w:snapToGrid w:val="0"/>
              <w:spacing w:line="300" w:lineRule="auto"/>
              <w:jc w:val="center"/>
              <w:rPr>
                <w:bCs/>
                <w:sz w:val="18"/>
                <w:szCs w:val="18"/>
              </w:rPr>
            </w:pPr>
            <w:r w:rsidRPr="0083108E">
              <w:rPr>
                <w:rFonts w:hint="eastAsia"/>
                <w:bCs/>
                <w:sz w:val="18"/>
                <w:szCs w:val="18"/>
              </w:rPr>
              <w:t>2012</w:t>
            </w:r>
            <w:r w:rsidRPr="0083108E">
              <w:rPr>
                <w:rFonts w:hint="eastAsia"/>
                <w:bCs/>
                <w:sz w:val="18"/>
                <w:szCs w:val="18"/>
              </w:rPr>
              <w:t>年平均</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1965</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1948</w:t>
            </w:r>
          </w:p>
        </w:tc>
        <w:tc>
          <w:tcPr>
            <w:tcW w:w="1294"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15055</w:t>
            </w:r>
          </w:p>
        </w:tc>
        <w:tc>
          <w:tcPr>
            <w:tcW w:w="1294"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14988</w:t>
            </w:r>
          </w:p>
        </w:tc>
        <w:tc>
          <w:tcPr>
            <w:tcW w:w="1113"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1220750</w:t>
            </w:r>
          </w:p>
        </w:tc>
        <w:tc>
          <w:tcPr>
            <w:tcW w:w="1113"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310731</w:t>
            </w:r>
          </w:p>
        </w:tc>
      </w:tr>
      <w:tr w:rsidR="007E5062" w:rsidTr="007E5062">
        <w:tc>
          <w:tcPr>
            <w:tcW w:w="1281" w:type="dxa"/>
          </w:tcPr>
          <w:p w:rsidR="007E5062" w:rsidRPr="0083108E" w:rsidRDefault="007E5062" w:rsidP="00580C90">
            <w:pPr>
              <w:topLinePunct/>
              <w:adjustRightInd w:val="0"/>
              <w:snapToGrid w:val="0"/>
              <w:spacing w:line="300" w:lineRule="auto"/>
              <w:jc w:val="center"/>
              <w:rPr>
                <w:bCs/>
                <w:sz w:val="18"/>
                <w:szCs w:val="18"/>
              </w:rPr>
            </w:pPr>
            <w:r w:rsidRPr="0083108E">
              <w:rPr>
                <w:rFonts w:hint="eastAsia"/>
                <w:bCs/>
                <w:sz w:val="18"/>
                <w:szCs w:val="18"/>
              </w:rPr>
              <w:t>2013</w:t>
            </w:r>
            <w:r w:rsidRPr="0083108E">
              <w:rPr>
                <w:rFonts w:hint="eastAsia"/>
                <w:bCs/>
                <w:sz w:val="18"/>
                <w:szCs w:val="18"/>
              </w:rPr>
              <w:t>年平均</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1939</w:t>
            </w:r>
          </w:p>
        </w:tc>
        <w:tc>
          <w:tcPr>
            <w:tcW w:w="1265" w:type="dxa"/>
          </w:tcPr>
          <w:p w:rsidR="007E5062" w:rsidRPr="0083108E" w:rsidRDefault="007E5062" w:rsidP="00580C90">
            <w:pPr>
              <w:topLinePunct/>
              <w:adjustRightInd w:val="0"/>
              <w:snapToGrid w:val="0"/>
              <w:spacing w:line="300" w:lineRule="auto"/>
              <w:jc w:val="center"/>
              <w:rPr>
                <w:bCs/>
                <w:sz w:val="18"/>
                <w:szCs w:val="18"/>
              </w:rPr>
            </w:pPr>
            <w:r>
              <w:rPr>
                <w:rFonts w:hint="eastAsia"/>
                <w:bCs/>
                <w:sz w:val="18"/>
                <w:szCs w:val="18"/>
              </w:rPr>
              <w:t>1909</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14</w:t>
            </w:r>
            <w:r w:rsidR="004764B8">
              <w:rPr>
                <w:rFonts w:hint="eastAsia"/>
                <w:bCs/>
                <w:sz w:val="18"/>
                <w:szCs w:val="18"/>
              </w:rPr>
              <w:t>896</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14</w:t>
            </w:r>
            <w:r w:rsidR="004764B8">
              <w:rPr>
                <w:rFonts w:hint="eastAsia"/>
                <w:bCs/>
                <w:sz w:val="18"/>
                <w:szCs w:val="18"/>
              </w:rPr>
              <w:t>938</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933475</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241724</w:t>
            </w:r>
          </w:p>
        </w:tc>
      </w:tr>
      <w:tr w:rsidR="007E5062" w:rsidTr="007E5062">
        <w:tc>
          <w:tcPr>
            <w:tcW w:w="1281"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2014</w:t>
            </w:r>
            <w:r w:rsidRPr="0083108E">
              <w:rPr>
                <w:rFonts w:hint="eastAsia"/>
                <w:bCs/>
                <w:sz w:val="18"/>
                <w:szCs w:val="18"/>
              </w:rPr>
              <w:t>年</w:t>
            </w:r>
            <w:r w:rsidRPr="0083108E">
              <w:rPr>
                <w:rFonts w:hint="eastAsia"/>
                <w:bCs/>
                <w:sz w:val="18"/>
                <w:szCs w:val="18"/>
              </w:rPr>
              <w:t>1</w:t>
            </w:r>
            <w:r w:rsidRPr="0083108E">
              <w:rPr>
                <w:rFonts w:hint="eastAsia"/>
                <w:bCs/>
                <w:sz w:val="18"/>
                <w:szCs w:val="18"/>
              </w:rPr>
              <w:t>月</w:t>
            </w:r>
          </w:p>
        </w:tc>
        <w:tc>
          <w:tcPr>
            <w:tcW w:w="1265"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2040</w:t>
            </w:r>
          </w:p>
        </w:tc>
        <w:tc>
          <w:tcPr>
            <w:tcW w:w="1265"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2039</w:t>
            </w:r>
          </w:p>
        </w:tc>
        <w:tc>
          <w:tcPr>
            <w:tcW w:w="1294"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15147</w:t>
            </w:r>
          </w:p>
        </w:tc>
        <w:tc>
          <w:tcPr>
            <w:tcW w:w="1294"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15088</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854450</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169403</w:t>
            </w:r>
          </w:p>
        </w:tc>
      </w:tr>
      <w:tr w:rsidR="007E5062" w:rsidTr="007E5062">
        <w:tc>
          <w:tcPr>
            <w:tcW w:w="1281"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2014</w:t>
            </w:r>
            <w:r w:rsidRPr="0083108E">
              <w:rPr>
                <w:rFonts w:hint="eastAsia"/>
                <w:bCs/>
                <w:sz w:val="18"/>
                <w:szCs w:val="18"/>
              </w:rPr>
              <w:t>年</w:t>
            </w:r>
            <w:r w:rsidRPr="0083108E">
              <w:rPr>
                <w:rFonts w:hint="eastAsia"/>
                <w:bCs/>
                <w:sz w:val="18"/>
                <w:szCs w:val="18"/>
              </w:rPr>
              <w:t>2</w:t>
            </w:r>
            <w:r w:rsidRPr="0083108E">
              <w:rPr>
                <w:rFonts w:hint="eastAsia"/>
                <w:bCs/>
                <w:sz w:val="18"/>
                <w:szCs w:val="18"/>
              </w:rPr>
              <w:t>月</w:t>
            </w:r>
          </w:p>
        </w:tc>
        <w:tc>
          <w:tcPr>
            <w:tcW w:w="1265"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w:t>
            </w:r>
            <w:r w:rsidR="004764B8">
              <w:rPr>
                <w:rFonts w:hint="eastAsia"/>
                <w:bCs/>
                <w:sz w:val="18"/>
                <w:szCs w:val="18"/>
              </w:rPr>
              <w:t>027</w:t>
            </w:r>
          </w:p>
        </w:tc>
        <w:tc>
          <w:tcPr>
            <w:tcW w:w="1265"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w:t>
            </w:r>
            <w:r w:rsidR="004764B8">
              <w:rPr>
                <w:rFonts w:hint="eastAsia"/>
                <w:bCs/>
                <w:sz w:val="18"/>
                <w:szCs w:val="18"/>
              </w:rPr>
              <w:t>035</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w:t>
            </w:r>
            <w:r w:rsidR="004764B8">
              <w:rPr>
                <w:rFonts w:hint="eastAsia"/>
                <w:bCs/>
                <w:sz w:val="18"/>
                <w:szCs w:val="18"/>
              </w:rPr>
              <w:t>5135</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w:t>
            </w:r>
            <w:r w:rsidR="004764B8">
              <w:rPr>
                <w:rFonts w:hint="eastAsia"/>
                <w:bCs/>
                <w:sz w:val="18"/>
                <w:szCs w:val="18"/>
              </w:rPr>
              <w:t>4993</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761725</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189000</w:t>
            </w:r>
          </w:p>
        </w:tc>
      </w:tr>
      <w:tr w:rsidR="007E5062" w:rsidTr="007E5062">
        <w:tc>
          <w:tcPr>
            <w:tcW w:w="1281"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2014</w:t>
            </w:r>
            <w:r w:rsidRPr="0083108E">
              <w:rPr>
                <w:rFonts w:hint="eastAsia"/>
                <w:bCs/>
                <w:sz w:val="18"/>
                <w:szCs w:val="18"/>
              </w:rPr>
              <w:t>年</w:t>
            </w:r>
            <w:r w:rsidRPr="0083108E">
              <w:rPr>
                <w:rFonts w:hint="eastAsia"/>
                <w:bCs/>
                <w:sz w:val="18"/>
                <w:szCs w:val="18"/>
              </w:rPr>
              <w:t>3</w:t>
            </w:r>
            <w:r w:rsidRPr="0083108E">
              <w:rPr>
                <w:rFonts w:hint="eastAsia"/>
                <w:bCs/>
                <w:sz w:val="18"/>
                <w:szCs w:val="18"/>
              </w:rPr>
              <w:t>月</w:t>
            </w:r>
          </w:p>
        </w:tc>
        <w:tc>
          <w:tcPr>
            <w:tcW w:w="1265"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20</w:t>
            </w:r>
            <w:r w:rsidR="004764B8">
              <w:rPr>
                <w:rFonts w:hint="eastAsia"/>
                <w:bCs/>
                <w:sz w:val="18"/>
                <w:szCs w:val="18"/>
              </w:rPr>
              <w:t>09</w:t>
            </w:r>
          </w:p>
        </w:tc>
        <w:tc>
          <w:tcPr>
            <w:tcW w:w="1265"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20</w:t>
            </w:r>
            <w:r w:rsidR="004764B8">
              <w:rPr>
                <w:rFonts w:hint="eastAsia"/>
                <w:bCs/>
                <w:sz w:val="18"/>
                <w:szCs w:val="18"/>
              </w:rPr>
              <w:t>14</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w:t>
            </w:r>
            <w:r w:rsidR="004764B8">
              <w:rPr>
                <w:rFonts w:hint="eastAsia"/>
                <w:bCs/>
                <w:sz w:val="18"/>
                <w:szCs w:val="18"/>
              </w:rPr>
              <w:t>4750</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w:t>
            </w:r>
            <w:r w:rsidR="004764B8">
              <w:rPr>
                <w:rFonts w:hint="eastAsia"/>
                <w:bCs/>
                <w:sz w:val="18"/>
                <w:szCs w:val="18"/>
              </w:rPr>
              <w:t>4746</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779600</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269942</w:t>
            </w:r>
          </w:p>
        </w:tc>
      </w:tr>
      <w:tr w:rsidR="007E5062" w:rsidTr="007E5062">
        <w:tc>
          <w:tcPr>
            <w:tcW w:w="1281"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2014</w:t>
            </w:r>
            <w:r w:rsidRPr="0083108E">
              <w:rPr>
                <w:rFonts w:hint="eastAsia"/>
                <w:bCs/>
                <w:sz w:val="18"/>
                <w:szCs w:val="18"/>
              </w:rPr>
              <w:t>年</w:t>
            </w:r>
            <w:r w:rsidRPr="0083108E">
              <w:rPr>
                <w:rFonts w:hint="eastAsia"/>
                <w:bCs/>
                <w:sz w:val="18"/>
                <w:szCs w:val="18"/>
              </w:rPr>
              <w:t>4</w:t>
            </w:r>
            <w:r w:rsidRPr="0083108E">
              <w:rPr>
                <w:rFonts w:hint="eastAsia"/>
                <w:bCs/>
                <w:sz w:val="18"/>
                <w:szCs w:val="18"/>
              </w:rPr>
              <w:t>月</w:t>
            </w:r>
          </w:p>
        </w:tc>
        <w:tc>
          <w:tcPr>
            <w:tcW w:w="1265"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w:t>
            </w:r>
            <w:r w:rsidR="004764B8">
              <w:rPr>
                <w:rFonts w:hint="eastAsia"/>
                <w:bCs/>
                <w:sz w:val="18"/>
                <w:szCs w:val="18"/>
              </w:rPr>
              <w:t>037</w:t>
            </w:r>
          </w:p>
        </w:tc>
        <w:tc>
          <w:tcPr>
            <w:tcW w:w="1265"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20</w:t>
            </w:r>
            <w:r w:rsidR="004764B8">
              <w:rPr>
                <w:rFonts w:hint="eastAsia"/>
                <w:bCs/>
                <w:sz w:val="18"/>
                <w:szCs w:val="18"/>
              </w:rPr>
              <w:t>29</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w:t>
            </w:r>
            <w:r w:rsidR="004764B8">
              <w:rPr>
                <w:rFonts w:hint="eastAsia"/>
                <w:bCs/>
                <w:sz w:val="18"/>
                <w:szCs w:val="18"/>
              </w:rPr>
              <w:t>5037</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w:t>
            </w:r>
            <w:r w:rsidR="004764B8">
              <w:rPr>
                <w:rFonts w:hint="eastAsia"/>
                <w:bCs/>
                <w:sz w:val="18"/>
                <w:szCs w:val="18"/>
              </w:rPr>
              <w:t>4944</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777000</w:t>
            </w:r>
          </w:p>
        </w:tc>
        <w:tc>
          <w:tcPr>
            <w:tcW w:w="1113"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247526</w:t>
            </w:r>
          </w:p>
        </w:tc>
      </w:tr>
      <w:tr w:rsidR="007E5062" w:rsidTr="007E5062">
        <w:tc>
          <w:tcPr>
            <w:tcW w:w="1281"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201</w:t>
            </w:r>
            <w:r w:rsidR="004764B8">
              <w:rPr>
                <w:rFonts w:hint="eastAsia"/>
                <w:bCs/>
                <w:sz w:val="18"/>
                <w:szCs w:val="18"/>
              </w:rPr>
              <w:t>3</w:t>
            </w:r>
            <w:r w:rsidRPr="0083108E">
              <w:rPr>
                <w:rFonts w:hint="eastAsia"/>
                <w:bCs/>
                <w:sz w:val="18"/>
                <w:szCs w:val="18"/>
              </w:rPr>
              <w:t>年</w:t>
            </w:r>
            <w:r w:rsidRPr="0083108E">
              <w:rPr>
                <w:rFonts w:hint="eastAsia"/>
                <w:bCs/>
                <w:sz w:val="18"/>
                <w:szCs w:val="18"/>
              </w:rPr>
              <w:t>1-4</w:t>
            </w:r>
            <w:r w:rsidRPr="0083108E">
              <w:rPr>
                <w:rFonts w:hint="eastAsia"/>
                <w:bCs/>
                <w:sz w:val="18"/>
                <w:szCs w:val="18"/>
              </w:rPr>
              <w:t>月平均</w:t>
            </w:r>
          </w:p>
        </w:tc>
        <w:tc>
          <w:tcPr>
            <w:tcW w:w="1265"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2</w:t>
            </w:r>
            <w:r w:rsidR="004764B8">
              <w:rPr>
                <w:rFonts w:hint="eastAsia"/>
                <w:bCs/>
                <w:sz w:val="18"/>
                <w:szCs w:val="18"/>
              </w:rPr>
              <w:t>020</w:t>
            </w:r>
          </w:p>
        </w:tc>
        <w:tc>
          <w:tcPr>
            <w:tcW w:w="1265"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1993</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w:t>
            </w:r>
            <w:r w:rsidR="004764B8">
              <w:rPr>
                <w:rFonts w:hint="eastAsia"/>
                <w:bCs/>
                <w:sz w:val="18"/>
                <w:szCs w:val="18"/>
              </w:rPr>
              <w:t>5200</w:t>
            </w:r>
          </w:p>
        </w:tc>
        <w:tc>
          <w:tcPr>
            <w:tcW w:w="1294" w:type="dxa"/>
          </w:tcPr>
          <w:p w:rsidR="007E5062" w:rsidRPr="0083108E" w:rsidRDefault="007E5062" w:rsidP="004764B8">
            <w:pPr>
              <w:topLinePunct/>
              <w:adjustRightInd w:val="0"/>
              <w:snapToGrid w:val="0"/>
              <w:spacing w:line="300" w:lineRule="auto"/>
              <w:jc w:val="center"/>
              <w:rPr>
                <w:bCs/>
                <w:sz w:val="18"/>
                <w:szCs w:val="18"/>
              </w:rPr>
            </w:pPr>
            <w:r w:rsidRPr="0083108E">
              <w:rPr>
                <w:rFonts w:hint="eastAsia"/>
                <w:bCs/>
                <w:sz w:val="18"/>
                <w:szCs w:val="18"/>
              </w:rPr>
              <w:t>1</w:t>
            </w:r>
            <w:r w:rsidR="004764B8">
              <w:rPr>
                <w:rFonts w:hint="eastAsia"/>
                <w:bCs/>
                <w:sz w:val="18"/>
                <w:szCs w:val="18"/>
              </w:rPr>
              <w:t>5299</w:t>
            </w:r>
          </w:p>
        </w:tc>
        <w:tc>
          <w:tcPr>
            <w:tcW w:w="1113" w:type="dxa"/>
          </w:tcPr>
          <w:p w:rsidR="007E5062" w:rsidRPr="0083108E" w:rsidRDefault="007E5062" w:rsidP="00580C90">
            <w:pPr>
              <w:topLinePunct/>
              <w:adjustRightInd w:val="0"/>
              <w:snapToGrid w:val="0"/>
              <w:spacing w:line="300" w:lineRule="auto"/>
              <w:jc w:val="center"/>
              <w:rPr>
                <w:bCs/>
                <w:sz w:val="18"/>
                <w:szCs w:val="18"/>
              </w:rPr>
            </w:pPr>
          </w:p>
        </w:tc>
        <w:tc>
          <w:tcPr>
            <w:tcW w:w="1113" w:type="dxa"/>
          </w:tcPr>
          <w:p w:rsidR="007E5062" w:rsidRPr="0083108E" w:rsidRDefault="007E5062" w:rsidP="00580C90">
            <w:pPr>
              <w:topLinePunct/>
              <w:adjustRightInd w:val="0"/>
              <w:snapToGrid w:val="0"/>
              <w:spacing w:line="300" w:lineRule="auto"/>
              <w:jc w:val="center"/>
              <w:rPr>
                <w:bCs/>
                <w:sz w:val="18"/>
                <w:szCs w:val="18"/>
              </w:rPr>
            </w:pPr>
          </w:p>
        </w:tc>
      </w:tr>
      <w:tr w:rsidR="007E5062" w:rsidTr="007E5062">
        <w:tc>
          <w:tcPr>
            <w:tcW w:w="1281" w:type="dxa"/>
          </w:tcPr>
          <w:p w:rsidR="007E5062" w:rsidRPr="0083108E" w:rsidRDefault="004764B8" w:rsidP="004764B8">
            <w:pPr>
              <w:topLinePunct/>
              <w:adjustRightInd w:val="0"/>
              <w:snapToGrid w:val="0"/>
              <w:spacing w:line="300" w:lineRule="auto"/>
              <w:jc w:val="center"/>
              <w:rPr>
                <w:bCs/>
                <w:sz w:val="18"/>
                <w:szCs w:val="18"/>
              </w:rPr>
            </w:pPr>
            <w:r w:rsidRPr="0083108E">
              <w:rPr>
                <w:rFonts w:hint="eastAsia"/>
                <w:bCs/>
                <w:sz w:val="18"/>
                <w:szCs w:val="18"/>
              </w:rPr>
              <w:lastRenderedPageBreak/>
              <w:t>201</w:t>
            </w:r>
            <w:r>
              <w:rPr>
                <w:rFonts w:hint="eastAsia"/>
                <w:bCs/>
                <w:sz w:val="18"/>
                <w:szCs w:val="18"/>
              </w:rPr>
              <w:t>4</w:t>
            </w:r>
            <w:r w:rsidRPr="0083108E">
              <w:rPr>
                <w:rFonts w:hint="eastAsia"/>
                <w:bCs/>
                <w:sz w:val="18"/>
                <w:szCs w:val="18"/>
              </w:rPr>
              <w:t>年</w:t>
            </w:r>
            <w:r w:rsidRPr="0083108E">
              <w:rPr>
                <w:rFonts w:hint="eastAsia"/>
                <w:bCs/>
                <w:sz w:val="18"/>
                <w:szCs w:val="18"/>
              </w:rPr>
              <w:t>1-4</w:t>
            </w:r>
            <w:r w:rsidRPr="0083108E">
              <w:rPr>
                <w:rFonts w:hint="eastAsia"/>
                <w:bCs/>
                <w:sz w:val="18"/>
                <w:szCs w:val="18"/>
              </w:rPr>
              <w:t>月平均</w:t>
            </w:r>
          </w:p>
        </w:tc>
        <w:tc>
          <w:tcPr>
            <w:tcW w:w="1265"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2032</w:t>
            </w:r>
          </w:p>
        </w:tc>
        <w:tc>
          <w:tcPr>
            <w:tcW w:w="1265"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2031</w:t>
            </w:r>
          </w:p>
        </w:tc>
        <w:tc>
          <w:tcPr>
            <w:tcW w:w="1294"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15024</w:t>
            </w:r>
          </w:p>
        </w:tc>
        <w:tc>
          <w:tcPr>
            <w:tcW w:w="1294" w:type="dxa"/>
          </w:tcPr>
          <w:p w:rsidR="007E5062" w:rsidRPr="0083108E" w:rsidRDefault="004764B8" w:rsidP="00580C90">
            <w:pPr>
              <w:topLinePunct/>
              <w:adjustRightInd w:val="0"/>
              <w:snapToGrid w:val="0"/>
              <w:spacing w:line="300" w:lineRule="auto"/>
              <w:jc w:val="center"/>
              <w:rPr>
                <w:bCs/>
                <w:sz w:val="18"/>
                <w:szCs w:val="18"/>
              </w:rPr>
            </w:pPr>
            <w:r>
              <w:rPr>
                <w:rFonts w:hint="eastAsia"/>
                <w:bCs/>
                <w:sz w:val="18"/>
                <w:szCs w:val="18"/>
              </w:rPr>
              <w:t>14943</w:t>
            </w:r>
          </w:p>
        </w:tc>
        <w:tc>
          <w:tcPr>
            <w:tcW w:w="1113" w:type="dxa"/>
          </w:tcPr>
          <w:p w:rsidR="007E5062" w:rsidRPr="0083108E" w:rsidRDefault="007E5062" w:rsidP="00580C90">
            <w:pPr>
              <w:topLinePunct/>
              <w:adjustRightInd w:val="0"/>
              <w:snapToGrid w:val="0"/>
              <w:spacing w:line="300" w:lineRule="auto"/>
              <w:jc w:val="center"/>
              <w:rPr>
                <w:bCs/>
                <w:sz w:val="18"/>
                <w:szCs w:val="18"/>
              </w:rPr>
            </w:pPr>
          </w:p>
        </w:tc>
        <w:tc>
          <w:tcPr>
            <w:tcW w:w="1113" w:type="dxa"/>
          </w:tcPr>
          <w:p w:rsidR="007E5062" w:rsidRPr="0083108E" w:rsidRDefault="007E5062" w:rsidP="00580C90">
            <w:pPr>
              <w:topLinePunct/>
              <w:adjustRightInd w:val="0"/>
              <w:snapToGrid w:val="0"/>
              <w:spacing w:line="300" w:lineRule="auto"/>
              <w:jc w:val="center"/>
              <w:rPr>
                <w:bCs/>
                <w:sz w:val="18"/>
                <w:szCs w:val="18"/>
              </w:rPr>
            </w:pPr>
          </w:p>
        </w:tc>
      </w:tr>
    </w:tbl>
    <w:p w:rsidR="00580C90" w:rsidRPr="00792116" w:rsidRDefault="00580C90" w:rsidP="00792116">
      <w:pPr>
        <w:topLinePunct/>
        <w:adjustRightInd w:val="0"/>
        <w:snapToGrid w:val="0"/>
        <w:spacing w:line="300" w:lineRule="auto"/>
        <w:jc w:val="left"/>
        <w:rPr>
          <w:bCs/>
          <w:color w:val="993300"/>
          <w:sz w:val="18"/>
          <w:szCs w:val="18"/>
        </w:rPr>
      </w:pPr>
      <w:r w:rsidRPr="00A83677">
        <w:rPr>
          <w:rFonts w:hAnsi="宋体"/>
          <w:bCs/>
          <w:color w:val="993300"/>
          <w:sz w:val="18"/>
          <w:szCs w:val="18"/>
        </w:rPr>
        <w:t>资料来源：</w:t>
      </w:r>
      <w:r>
        <w:rPr>
          <w:rFonts w:hAnsi="宋体" w:hint="eastAsia"/>
          <w:bCs/>
          <w:color w:val="993300"/>
          <w:sz w:val="18"/>
          <w:szCs w:val="18"/>
        </w:rPr>
        <w:t>安泰科</w:t>
      </w:r>
      <w:r w:rsidRPr="00A83677">
        <w:rPr>
          <w:rFonts w:hAnsi="宋体"/>
          <w:bCs/>
          <w:color w:val="993300"/>
          <w:sz w:val="18"/>
          <w:szCs w:val="18"/>
        </w:rPr>
        <w:t>，金源期货</w:t>
      </w:r>
    </w:p>
    <w:p w:rsidR="009034D9" w:rsidRDefault="009034D9" w:rsidP="00792116">
      <w:pPr>
        <w:pStyle w:val="3"/>
        <w:numPr>
          <w:ilvl w:val="0"/>
          <w:numId w:val="23"/>
        </w:numPr>
        <w:spacing w:line="360" w:lineRule="auto"/>
        <w:rPr>
          <w:rFonts w:ascii="宋体" w:hAnsi="宋体"/>
          <w:color w:val="993300"/>
          <w:sz w:val="21"/>
          <w:szCs w:val="21"/>
        </w:rPr>
      </w:pPr>
      <w:bookmarkStart w:id="134" w:name="_Toc340436164"/>
      <w:bookmarkStart w:id="135" w:name="_Toc389830948"/>
      <w:r w:rsidRPr="0021792B">
        <w:rPr>
          <w:rFonts w:ascii="宋体" w:hAnsi="宋体" w:hint="eastAsia"/>
          <w:color w:val="993300"/>
          <w:sz w:val="21"/>
          <w:szCs w:val="21"/>
        </w:rPr>
        <w:t>铅</w:t>
      </w:r>
      <w:r w:rsidRPr="0021792B">
        <w:rPr>
          <w:rFonts w:ascii="宋体" w:hAnsi="宋体"/>
          <w:color w:val="993300"/>
          <w:sz w:val="21"/>
          <w:szCs w:val="21"/>
        </w:rPr>
        <w:t>行情评述</w:t>
      </w:r>
      <w:bookmarkEnd w:id="134"/>
      <w:bookmarkEnd w:id="135"/>
    </w:p>
    <w:p w:rsidR="00792116" w:rsidRPr="00580C90" w:rsidRDefault="008532EA" w:rsidP="00580C90">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寒冬过后，</w:t>
      </w:r>
      <w:r w:rsidR="002B1D68">
        <w:rPr>
          <w:rFonts w:asciiTheme="minorEastAsia" w:eastAsiaTheme="minorEastAsia" w:hAnsiTheme="minorEastAsia" w:cs="宋体" w:hint="eastAsia"/>
          <w:color w:val="000000"/>
          <w:kern w:val="0"/>
          <w:sz w:val="22"/>
          <w:szCs w:val="22"/>
        </w:rPr>
        <w:t>美国经济复苏步伐</w:t>
      </w:r>
      <w:r>
        <w:rPr>
          <w:rFonts w:asciiTheme="minorEastAsia" w:eastAsiaTheme="minorEastAsia" w:hAnsiTheme="minorEastAsia" w:cs="宋体" w:hint="eastAsia"/>
          <w:color w:val="000000"/>
          <w:kern w:val="0"/>
          <w:sz w:val="22"/>
          <w:szCs w:val="22"/>
        </w:rPr>
        <w:t>稳固，市场担忧美联储进一步缩减购债计划，提振美元走势，打压金属价格</w:t>
      </w:r>
      <w:r w:rsidR="00ED5499">
        <w:rPr>
          <w:rFonts w:asciiTheme="minorEastAsia" w:eastAsiaTheme="minorEastAsia" w:hAnsiTheme="minorEastAsia" w:cs="宋体" w:hint="eastAsia"/>
          <w:color w:val="000000"/>
          <w:kern w:val="0"/>
          <w:sz w:val="22"/>
          <w:szCs w:val="22"/>
        </w:rPr>
        <w:t>。LME三月期铅进入2014年以来呈震荡走弱格局，并于</w:t>
      </w:r>
      <w:r>
        <w:rPr>
          <w:rFonts w:asciiTheme="minorEastAsia" w:eastAsiaTheme="minorEastAsia" w:hAnsiTheme="minorEastAsia" w:cs="宋体" w:hint="eastAsia"/>
          <w:color w:val="000000"/>
          <w:kern w:val="0"/>
          <w:sz w:val="22"/>
          <w:szCs w:val="22"/>
        </w:rPr>
        <w:t>3</w:t>
      </w:r>
      <w:r w:rsidR="002B1D68">
        <w:rPr>
          <w:rFonts w:asciiTheme="minorEastAsia" w:eastAsiaTheme="minorEastAsia" w:hAnsiTheme="minorEastAsia" w:cs="宋体" w:hint="eastAsia"/>
          <w:color w:val="000000"/>
          <w:kern w:val="0"/>
          <w:sz w:val="22"/>
          <w:szCs w:val="22"/>
        </w:rPr>
        <w:t>月</w:t>
      </w:r>
      <w:r w:rsidR="00ED5499">
        <w:rPr>
          <w:rFonts w:asciiTheme="minorEastAsia" w:eastAsiaTheme="minorEastAsia" w:hAnsiTheme="minorEastAsia" w:cs="宋体" w:hint="eastAsia"/>
          <w:color w:val="000000"/>
          <w:kern w:val="0"/>
          <w:sz w:val="22"/>
          <w:szCs w:val="22"/>
        </w:rPr>
        <w:t>12日下探2013美元/吨年内低点。随后的3月议息会议上，美联储宣布维持缩减QE规模，稳定了市场情绪。此外，伦铅库存4月下旬跌至20万吨下方，支撑了伦铅走势，最高一度上摸2181美元/吨。随后的5月，LME三月期铅</w:t>
      </w:r>
      <w:r w:rsidR="004915FB">
        <w:rPr>
          <w:rFonts w:asciiTheme="minorEastAsia" w:eastAsiaTheme="minorEastAsia" w:hAnsiTheme="minorEastAsia" w:cs="宋体" w:hint="eastAsia"/>
          <w:color w:val="000000"/>
          <w:kern w:val="0"/>
          <w:sz w:val="22"/>
          <w:szCs w:val="22"/>
        </w:rPr>
        <w:t>整体窄幅震荡，波动区间运行于2070-2160美元/吨范围内。受外盘影响，沪铅主力今年表现亦呈震荡下探后反弹回升窄幅震荡格局，3月中下破13500元/吨支撑后触底反弹，</w:t>
      </w:r>
      <w:r w:rsidR="00A56A28">
        <w:rPr>
          <w:rFonts w:asciiTheme="minorEastAsia" w:eastAsiaTheme="minorEastAsia" w:hAnsiTheme="minorEastAsia" w:cs="宋体" w:hint="eastAsia"/>
          <w:color w:val="000000"/>
          <w:kern w:val="0"/>
          <w:sz w:val="22"/>
          <w:szCs w:val="22"/>
        </w:rPr>
        <w:t>目前围绕14000点整数关口窄幅盘整。现货方面，国内</w:t>
      </w:r>
      <w:r w:rsidR="00ED5499">
        <w:rPr>
          <w:rFonts w:asciiTheme="minorEastAsia" w:eastAsiaTheme="minorEastAsia" w:hAnsiTheme="minorEastAsia" w:cs="宋体" w:hint="eastAsia"/>
          <w:color w:val="000000"/>
          <w:kern w:val="0"/>
          <w:sz w:val="22"/>
          <w:szCs w:val="22"/>
        </w:rPr>
        <w:t>铅生产企业成品库存低于往年同期水平，铅现货供应紧张，</w:t>
      </w:r>
      <w:r w:rsidR="00A56A28">
        <w:rPr>
          <w:rFonts w:asciiTheme="minorEastAsia" w:eastAsiaTheme="minorEastAsia" w:hAnsiTheme="minorEastAsia" w:cs="宋体" w:hint="eastAsia"/>
          <w:color w:val="000000"/>
          <w:kern w:val="0"/>
          <w:sz w:val="22"/>
          <w:szCs w:val="22"/>
        </w:rPr>
        <w:t>一定程度上带动铅价坚挺。</w:t>
      </w:r>
      <w:r w:rsidR="00A56A28" w:rsidRPr="00792116">
        <w:rPr>
          <w:rFonts w:asciiTheme="minorEastAsia" w:eastAsiaTheme="minorEastAsia" w:hAnsiTheme="minorEastAsia" w:cs="宋体"/>
          <w:color w:val="000000"/>
          <w:kern w:val="0"/>
          <w:sz w:val="22"/>
          <w:szCs w:val="22"/>
        </w:rPr>
        <w:t xml:space="preserve"> </w:t>
      </w:r>
    </w:p>
    <w:p w:rsidR="00E24FBF" w:rsidRPr="0042161F" w:rsidRDefault="00E24FBF" w:rsidP="00E24FBF">
      <w:pPr>
        <w:pStyle w:val="a8"/>
        <w:keepNext/>
        <w:jc w:val="center"/>
      </w:pPr>
      <w:r>
        <w:rPr>
          <w:rFonts w:hint="eastAsia"/>
        </w:rPr>
        <w:t>图表</w:t>
      </w:r>
      <w:r>
        <w:rPr>
          <w:rFonts w:hint="eastAsia"/>
        </w:rPr>
        <w:t xml:space="preserve"> 2 </w:t>
      </w:r>
      <w:r>
        <w:rPr>
          <w:rFonts w:hint="eastAsia"/>
        </w:rPr>
        <w:t>沪</w:t>
      </w:r>
      <w:r w:rsidR="000A2FFE">
        <w:rPr>
          <w:rFonts w:hint="eastAsia"/>
        </w:rPr>
        <w:t>铅</w:t>
      </w:r>
      <w:r w:rsidR="009D7AB6">
        <w:rPr>
          <w:rFonts w:hint="eastAsia"/>
        </w:rPr>
        <w:t>主连</w:t>
      </w:r>
      <w:r>
        <w:rPr>
          <w:rFonts w:hint="eastAsia"/>
        </w:rPr>
        <w:t>及</w:t>
      </w:r>
      <w:r>
        <w:rPr>
          <w:rFonts w:hint="eastAsia"/>
        </w:rPr>
        <w:t>LME</w:t>
      </w:r>
      <w:r>
        <w:rPr>
          <w:rFonts w:hint="eastAsia"/>
        </w:rPr>
        <w:t>三月期</w:t>
      </w:r>
      <w:r w:rsidR="000A2FFE">
        <w:rPr>
          <w:rFonts w:hint="eastAsia"/>
        </w:rPr>
        <w:t>铅</w:t>
      </w:r>
      <w:r>
        <w:rPr>
          <w:rFonts w:hint="eastAsia"/>
        </w:rPr>
        <w:t>走势</w:t>
      </w:r>
    </w:p>
    <w:tbl>
      <w:tblPr>
        <w:tblW w:w="11056" w:type="dxa"/>
        <w:jc w:val="center"/>
        <w:tblInd w:w="1061" w:type="dxa"/>
        <w:tblBorders>
          <w:top w:val="single" w:sz="12" w:space="0" w:color="C0504D"/>
          <w:bottom w:val="single" w:sz="12" w:space="0" w:color="C0504D"/>
          <w:insideH w:val="single" w:sz="4" w:space="0" w:color="auto"/>
        </w:tblBorders>
        <w:tblLayout w:type="fixed"/>
        <w:tblLook w:val="04A0"/>
      </w:tblPr>
      <w:tblGrid>
        <w:gridCol w:w="5528"/>
        <w:gridCol w:w="5528"/>
      </w:tblGrid>
      <w:tr w:rsidR="00E24FBF" w:rsidTr="00C74723">
        <w:trPr>
          <w:trHeight w:val="3969"/>
          <w:jc w:val="center"/>
        </w:trPr>
        <w:tc>
          <w:tcPr>
            <w:tcW w:w="5528" w:type="dxa"/>
          </w:tcPr>
          <w:p w:rsidR="00E24FBF" w:rsidRPr="009344A3" w:rsidRDefault="00492699" w:rsidP="00C74723">
            <w:pPr>
              <w:tabs>
                <w:tab w:val="left" w:pos="1493"/>
              </w:tabs>
              <w:ind w:leftChars="-238" w:left="-500" w:rightChars="-60" w:right="-126" w:firstLineChars="153" w:firstLine="367"/>
              <w:jc w:val="center"/>
              <w:rPr>
                <w:rFonts w:ascii="宋体" w:cs="宋体"/>
                <w:color w:val="002C57"/>
                <w:kern w:val="0"/>
                <w:sz w:val="24"/>
                <w:lang w:val="zh-CN"/>
              </w:rPr>
            </w:pPr>
            <w:r>
              <w:rPr>
                <w:rFonts w:ascii="宋体" w:cs="宋体"/>
                <w:noProof/>
                <w:color w:val="002C57"/>
                <w:kern w:val="0"/>
                <w:sz w:val="24"/>
              </w:rPr>
              <w:drawing>
                <wp:inline distT="0" distB="0" distL="0" distR="0">
                  <wp:extent cx="3503982" cy="2494483"/>
                  <wp:effectExtent l="19050" t="0" r="1218"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3503636" cy="2494237"/>
                          </a:xfrm>
                          <a:prstGeom prst="rect">
                            <a:avLst/>
                          </a:prstGeom>
                          <a:noFill/>
                          <a:ln w="9525">
                            <a:noFill/>
                            <a:miter lim="800000"/>
                            <a:headEnd/>
                            <a:tailEnd/>
                          </a:ln>
                        </pic:spPr>
                      </pic:pic>
                    </a:graphicData>
                  </a:graphic>
                </wp:inline>
              </w:drawing>
            </w:r>
          </w:p>
        </w:tc>
        <w:tc>
          <w:tcPr>
            <w:tcW w:w="5528" w:type="dxa"/>
          </w:tcPr>
          <w:p w:rsidR="00E24FBF" w:rsidRPr="009344A3" w:rsidRDefault="00492699" w:rsidP="009D7AB6">
            <w:pPr>
              <w:ind w:leftChars="-28" w:left="-59" w:rightChars="-90" w:right="-189"/>
              <w:jc w:val="center"/>
              <w:rPr>
                <w:rFonts w:ascii="宋体" w:cs="宋体"/>
                <w:color w:val="002C57"/>
                <w:kern w:val="0"/>
                <w:sz w:val="24"/>
                <w:lang w:val="zh-CN"/>
              </w:rPr>
            </w:pPr>
            <w:r>
              <w:rPr>
                <w:rFonts w:ascii="宋体" w:cs="宋体"/>
                <w:noProof/>
                <w:color w:val="002C57"/>
                <w:kern w:val="0"/>
                <w:sz w:val="24"/>
              </w:rPr>
              <w:drawing>
                <wp:inline distT="0" distB="0" distL="0" distR="0">
                  <wp:extent cx="3463209" cy="2501798"/>
                  <wp:effectExtent l="19050" t="0" r="3891"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3463633" cy="2502104"/>
                          </a:xfrm>
                          <a:prstGeom prst="rect">
                            <a:avLst/>
                          </a:prstGeom>
                          <a:noFill/>
                          <a:ln w="9525">
                            <a:noFill/>
                            <a:miter lim="800000"/>
                            <a:headEnd/>
                            <a:tailEnd/>
                          </a:ln>
                        </pic:spPr>
                      </pic:pic>
                    </a:graphicData>
                  </a:graphic>
                </wp:inline>
              </w:drawing>
            </w:r>
          </w:p>
        </w:tc>
      </w:tr>
    </w:tbl>
    <w:p w:rsidR="00B95460" w:rsidRDefault="009034D9" w:rsidP="009034D9">
      <w:pPr>
        <w:topLinePunct/>
        <w:adjustRightInd w:val="0"/>
        <w:snapToGrid w:val="0"/>
        <w:spacing w:line="300" w:lineRule="auto"/>
        <w:jc w:val="left"/>
        <w:rPr>
          <w:rFonts w:hAnsi="宋体"/>
          <w:bCs/>
          <w:color w:val="993300"/>
          <w:sz w:val="18"/>
          <w:szCs w:val="18"/>
        </w:rPr>
      </w:pPr>
      <w:r w:rsidRPr="00A83677">
        <w:rPr>
          <w:rFonts w:hAnsi="宋体"/>
          <w:bCs/>
          <w:color w:val="993300"/>
          <w:sz w:val="18"/>
          <w:szCs w:val="18"/>
        </w:rPr>
        <w:t>资料来源：</w:t>
      </w:r>
      <w:r w:rsidR="00406531">
        <w:rPr>
          <w:rFonts w:hAnsi="宋体" w:hint="eastAsia"/>
          <w:bCs/>
          <w:color w:val="993300"/>
          <w:sz w:val="18"/>
          <w:szCs w:val="18"/>
        </w:rPr>
        <w:t>博易大师</w:t>
      </w:r>
      <w:r w:rsidRPr="00A83677">
        <w:rPr>
          <w:rFonts w:hAnsi="宋体"/>
          <w:bCs/>
          <w:color w:val="993300"/>
          <w:sz w:val="18"/>
          <w:szCs w:val="18"/>
        </w:rPr>
        <w:t>，金源期货</w:t>
      </w:r>
    </w:p>
    <w:p w:rsidR="0083108E" w:rsidRPr="0083108E" w:rsidRDefault="0083108E" w:rsidP="0083108E">
      <w:pPr>
        <w:pStyle w:val="a8"/>
        <w:keepNext/>
        <w:jc w:val="center"/>
      </w:pPr>
      <w:r w:rsidRPr="0083108E">
        <w:rPr>
          <w:rFonts w:hint="eastAsia"/>
        </w:rPr>
        <w:t>表</w:t>
      </w:r>
      <w:r w:rsidRPr="0083108E">
        <w:rPr>
          <w:rFonts w:hint="eastAsia"/>
        </w:rPr>
        <w:t xml:space="preserve">2 </w:t>
      </w:r>
      <w:r w:rsidRPr="0083108E">
        <w:rPr>
          <w:rFonts w:hint="eastAsia"/>
        </w:rPr>
        <w:t>国内外精铅价格</w:t>
      </w:r>
    </w:p>
    <w:tbl>
      <w:tblPr>
        <w:tblStyle w:val="a7"/>
        <w:tblW w:w="0" w:type="auto"/>
        <w:tblBorders>
          <w:top w:val="single" w:sz="6" w:space="0" w:color="993300"/>
          <w:left w:val="single" w:sz="6" w:space="0" w:color="993300"/>
          <w:bottom w:val="single" w:sz="6" w:space="0" w:color="993300"/>
          <w:right w:val="single" w:sz="6" w:space="0" w:color="993300"/>
          <w:insideH w:val="single" w:sz="6" w:space="0" w:color="993300"/>
          <w:insideV w:val="single" w:sz="6" w:space="0" w:color="993300"/>
        </w:tblBorders>
        <w:tblLook w:val="04A0"/>
      </w:tblPr>
      <w:tblGrid>
        <w:gridCol w:w="1725"/>
        <w:gridCol w:w="1725"/>
        <w:gridCol w:w="1725"/>
        <w:gridCol w:w="1725"/>
        <w:gridCol w:w="1725"/>
      </w:tblGrid>
      <w:tr w:rsidR="00AC250D" w:rsidTr="00580C90">
        <w:tc>
          <w:tcPr>
            <w:tcW w:w="1725" w:type="dxa"/>
            <w:vMerge w:val="restart"/>
          </w:tcPr>
          <w:p w:rsidR="00AC250D" w:rsidRPr="007E5062" w:rsidRDefault="00AC250D" w:rsidP="009056BA">
            <w:pPr>
              <w:topLinePunct/>
              <w:adjustRightInd w:val="0"/>
              <w:snapToGrid w:val="0"/>
              <w:spacing w:beforeLines="50" w:line="360" w:lineRule="auto"/>
              <w:jc w:val="center"/>
              <w:rPr>
                <w:b/>
                <w:bCs/>
                <w:sz w:val="18"/>
                <w:szCs w:val="18"/>
              </w:rPr>
            </w:pPr>
            <w:r w:rsidRPr="007E5062">
              <w:rPr>
                <w:rFonts w:hint="eastAsia"/>
                <w:b/>
                <w:bCs/>
                <w:sz w:val="18"/>
                <w:szCs w:val="18"/>
              </w:rPr>
              <w:t>时间</w:t>
            </w:r>
          </w:p>
        </w:tc>
        <w:tc>
          <w:tcPr>
            <w:tcW w:w="1725" w:type="dxa"/>
          </w:tcPr>
          <w:p w:rsidR="00AC250D" w:rsidRPr="007E5062" w:rsidRDefault="00B95460" w:rsidP="00B95460">
            <w:pPr>
              <w:topLinePunct/>
              <w:adjustRightInd w:val="0"/>
              <w:snapToGrid w:val="0"/>
              <w:spacing w:line="300" w:lineRule="auto"/>
              <w:jc w:val="center"/>
              <w:rPr>
                <w:b/>
                <w:bCs/>
                <w:sz w:val="18"/>
                <w:szCs w:val="18"/>
              </w:rPr>
            </w:pPr>
            <w:r w:rsidRPr="007E5062">
              <w:rPr>
                <w:rFonts w:hint="eastAsia"/>
                <w:b/>
                <w:bCs/>
                <w:sz w:val="18"/>
                <w:szCs w:val="18"/>
              </w:rPr>
              <w:t>LME</w:t>
            </w:r>
            <w:r w:rsidRPr="007E5062">
              <w:rPr>
                <w:rFonts w:hint="eastAsia"/>
                <w:b/>
                <w:bCs/>
                <w:sz w:val="18"/>
                <w:szCs w:val="18"/>
              </w:rPr>
              <w:t>三月期货</w:t>
            </w:r>
          </w:p>
        </w:tc>
        <w:tc>
          <w:tcPr>
            <w:tcW w:w="1725" w:type="dxa"/>
          </w:tcPr>
          <w:p w:rsidR="00AC250D" w:rsidRPr="007E5062" w:rsidRDefault="00B95460" w:rsidP="00B95460">
            <w:pPr>
              <w:topLinePunct/>
              <w:adjustRightInd w:val="0"/>
              <w:snapToGrid w:val="0"/>
              <w:spacing w:line="300" w:lineRule="auto"/>
              <w:jc w:val="center"/>
              <w:rPr>
                <w:b/>
                <w:bCs/>
                <w:sz w:val="18"/>
                <w:szCs w:val="18"/>
              </w:rPr>
            </w:pPr>
            <w:r w:rsidRPr="007E5062">
              <w:rPr>
                <w:rFonts w:hint="eastAsia"/>
                <w:b/>
                <w:bCs/>
                <w:sz w:val="18"/>
                <w:szCs w:val="18"/>
              </w:rPr>
              <w:t>LME</w:t>
            </w:r>
            <w:r w:rsidRPr="007E5062">
              <w:rPr>
                <w:rFonts w:hint="eastAsia"/>
                <w:b/>
                <w:bCs/>
                <w:sz w:val="18"/>
                <w:szCs w:val="18"/>
              </w:rPr>
              <w:t>现货</w:t>
            </w:r>
          </w:p>
        </w:tc>
        <w:tc>
          <w:tcPr>
            <w:tcW w:w="1725" w:type="dxa"/>
          </w:tcPr>
          <w:p w:rsidR="00AC250D" w:rsidRPr="007E5062" w:rsidRDefault="00B95460" w:rsidP="00B95460">
            <w:pPr>
              <w:topLinePunct/>
              <w:adjustRightInd w:val="0"/>
              <w:snapToGrid w:val="0"/>
              <w:spacing w:line="300" w:lineRule="auto"/>
              <w:jc w:val="center"/>
              <w:rPr>
                <w:b/>
                <w:bCs/>
                <w:sz w:val="18"/>
                <w:szCs w:val="18"/>
              </w:rPr>
            </w:pPr>
            <w:r w:rsidRPr="007E5062">
              <w:rPr>
                <w:rFonts w:hint="eastAsia"/>
                <w:b/>
                <w:bCs/>
                <w:sz w:val="18"/>
                <w:szCs w:val="18"/>
              </w:rPr>
              <w:t>沪铅主力合约</w:t>
            </w:r>
          </w:p>
        </w:tc>
        <w:tc>
          <w:tcPr>
            <w:tcW w:w="1725" w:type="dxa"/>
          </w:tcPr>
          <w:p w:rsidR="00AC250D" w:rsidRPr="007E5062" w:rsidRDefault="00B95460" w:rsidP="00B95460">
            <w:pPr>
              <w:topLinePunct/>
              <w:adjustRightInd w:val="0"/>
              <w:snapToGrid w:val="0"/>
              <w:spacing w:line="300" w:lineRule="auto"/>
              <w:jc w:val="center"/>
              <w:rPr>
                <w:b/>
                <w:bCs/>
                <w:sz w:val="18"/>
                <w:szCs w:val="18"/>
              </w:rPr>
            </w:pPr>
            <w:r w:rsidRPr="007E5062">
              <w:rPr>
                <w:rFonts w:hint="eastAsia"/>
                <w:b/>
                <w:bCs/>
                <w:sz w:val="18"/>
                <w:szCs w:val="18"/>
              </w:rPr>
              <w:t>国内现货市场报价</w:t>
            </w:r>
          </w:p>
        </w:tc>
      </w:tr>
      <w:tr w:rsidR="00AC250D" w:rsidTr="00580C90">
        <w:tc>
          <w:tcPr>
            <w:tcW w:w="1725" w:type="dxa"/>
            <w:vMerge/>
          </w:tcPr>
          <w:p w:rsidR="00AC250D" w:rsidRPr="007E5062" w:rsidRDefault="00AC250D" w:rsidP="009034D9">
            <w:pPr>
              <w:topLinePunct/>
              <w:adjustRightInd w:val="0"/>
              <w:snapToGrid w:val="0"/>
              <w:spacing w:line="300" w:lineRule="auto"/>
              <w:jc w:val="left"/>
              <w:rPr>
                <w:b/>
                <w:bCs/>
                <w:sz w:val="18"/>
                <w:szCs w:val="18"/>
              </w:rPr>
            </w:pPr>
          </w:p>
        </w:tc>
        <w:tc>
          <w:tcPr>
            <w:tcW w:w="1725" w:type="dxa"/>
          </w:tcPr>
          <w:p w:rsidR="00AC250D" w:rsidRPr="007E5062" w:rsidRDefault="00B95460" w:rsidP="00B95460">
            <w:pPr>
              <w:topLinePunct/>
              <w:adjustRightInd w:val="0"/>
              <w:snapToGrid w:val="0"/>
              <w:spacing w:line="300" w:lineRule="auto"/>
              <w:jc w:val="center"/>
              <w:rPr>
                <w:b/>
                <w:bCs/>
                <w:sz w:val="18"/>
                <w:szCs w:val="18"/>
              </w:rPr>
            </w:pPr>
            <w:r w:rsidRPr="007E5062">
              <w:rPr>
                <w:rFonts w:hint="eastAsia"/>
                <w:b/>
                <w:bCs/>
                <w:sz w:val="18"/>
                <w:szCs w:val="18"/>
              </w:rPr>
              <w:t>（美元</w:t>
            </w:r>
            <w:r w:rsidRPr="007E5062">
              <w:rPr>
                <w:rFonts w:hint="eastAsia"/>
                <w:b/>
                <w:bCs/>
                <w:sz w:val="18"/>
                <w:szCs w:val="18"/>
              </w:rPr>
              <w:t>/</w:t>
            </w:r>
            <w:r w:rsidRPr="007E5062">
              <w:rPr>
                <w:rFonts w:hint="eastAsia"/>
                <w:b/>
                <w:bCs/>
                <w:sz w:val="18"/>
                <w:szCs w:val="18"/>
              </w:rPr>
              <w:t>吨）</w:t>
            </w:r>
          </w:p>
        </w:tc>
        <w:tc>
          <w:tcPr>
            <w:tcW w:w="1725" w:type="dxa"/>
          </w:tcPr>
          <w:p w:rsidR="00AC250D" w:rsidRPr="007E5062" w:rsidRDefault="00B95460" w:rsidP="00B95460">
            <w:pPr>
              <w:topLinePunct/>
              <w:adjustRightInd w:val="0"/>
              <w:snapToGrid w:val="0"/>
              <w:spacing w:line="300" w:lineRule="auto"/>
              <w:jc w:val="center"/>
              <w:rPr>
                <w:b/>
                <w:bCs/>
                <w:sz w:val="18"/>
                <w:szCs w:val="18"/>
              </w:rPr>
            </w:pPr>
            <w:r w:rsidRPr="007E5062">
              <w:rPr>
                <w:rFonts w:hint="eastAsia"/>
                <w:b/>
                <w:bCs/>
                <w:sz w:val="18"/>
                <w:szCs w:val="18"/>
              </w:rPr>
              <w:t>（美元</w:t>
            </w:r>
            <w:r w:rsidRPr="007E5062">
              <w:rPr>
                <w:rFonts w:hint="eastAsia"/>
                <w:b/>
                <w:bCs/>
                <w:sz w:val="18"/>
                <w:szCs w:val="18"/>
              </w:rPr>
              <w:t>/</w:t>
            </w:r>
            <w:r w:rsidRPr="007E5062">
              <w:rPr>
                <w:rFonts w:hint="eastAsia"/>
                <w:b/>
                <w:bCs/>
                <w:sz w:val="18"/>
                <w:szCs w:val="18"/>
              </w:rPr>
              <w:t>吨）</w:t>
            </w:r>
          </w:p>
        </w:tc>
        <w:tc>
          <w:tcPr>
            <w:tcW w:w="1725" w:type="dxa"/>
          </w:tcPr>
          <w:p w:rsidR="00AC250D" w:rsidRPr="007E5062" w:rsidRDefault="00B95460" w:rsidP="00B95460">
            <w:pPr>
              <w:topLinePunct/>
              <w:adjustRightInd w:val="0"/>
              <w:snapToGrid w:val="0"/>
              <w:spacing w:line="300" w:lineRule="auto"/>
              <w:jc w:val="center"/>
              <w:rPr>
                <w:b/>
                <w:bCs/>
                <w:sz w:val="18"/>
                <w:szCs w:val="18"/>
              </w:rPr>
            </w:pPr>
            <w:r w:rsidRPr="007E5062">
              <w:rPr>
                <w:rFonts w:hint="eastAsia"/>
                <w:b/>
                <w:bCs/>
                <w:sz w:val="18"/>
                <w:szCs w:val="18"/>
              </w:rPr>
              <w:t>（元</w:t>
            </w:r>
            <w:r w:rsidRPr="007E5062">
              <w:rPr>
                <w:rFonts w:hint="eastAsia"/>
                <w:b/>
                <w:bCs/>
                <w:sz w:val="18"/>
                <w:szCs w:val="18"/>
              </w:rPr>
              <w:t>/</w:t>
            </w:r>
            <w:r w:rsidRPr="007E5062">
              <w:rPr>
                <w:rFonts w:hint="eastAsia"/>
                <w:b/>
                <w:bCs/>
                <w:sz w:val="18"/>
                <w:szCs w:val="18"/>
              </w:rPr>
              <w:t>吨）</w:t>
            </w:r>
          </w:p>
        </w:tc>
        <w:tc>
          <w:tcPr>
            <w:tcW w:w="1725" w:type="dxa"/>
          </w:tcPr>
          <w:p w:rsidR="00AC250D" w:rsidRPr="007E5062" w:rsidRDefault="00B95460" w:rsidP="00B95460">
            <w:pPr>
              <w:topLinePunct/>
              <w:adjustRightInd w:val="0"/>
              <w:snapToGrid w:val="0"/>
              <w:spacing w:line="300" w:lineRule="auto"/>
              <w:jc w:val="center"/>
              <w:rPr>
                <w:b/>
                <w:bCs/>
                <w:sz w:val="18"/>
                <w:szCs w:val="18"/>
              </w:rPr>
            </w:pPr>
            <w:r w:rsidRPr="007E5062">
              <w:rPr>
                <w:rFonts w:hint="eastAsia"/>
                <w:b/>
                <w:bCs/>
                <w:sz w:val="18"/>
                <w:szCs w:val="18"/>
              </w:rPr>
              <w:t>（</w:t>
            </w:r>
            <w:r w:rsidRPr="007E5062">
              <w:rPr>
                <w:rFonts w:hint="eastAsia"/>
                <w:b/>
                <w:bCs/>
                <w:sz w:val="18"/>
                <w:szCs w:val="18"/>
              </w:rPr>
              <w:t>1#</w:t>
            </w:r>
            <w:r w:rsidRPr="007E5062">
              <w:rPr>
                <w:rFonts w:hint="eastAsia"/>
                <w:b/>
                <w:bCs/>
                <w:sz w:val="18"/>
                <w:szCs w:val="18"/>
              </w:rPr>
              <w:t>元</w:t>
            </w:r>
            <w:r w:rsidRPr="007E5062">
              <w:rPr>
                <w:rFonts w:hint="eastAsia"/>
                <w:b/>
                <w:bCs/>
                <w:sz w:val="18"/>
                <w:szCs w:val="18"/>
              </w:rPr>
              <w:t>/</w:t>
            </w:r>
            <w:r w:rsidRPr="007E5062">
              <w:rPr>
                <w:rFonts w:hint="eastAsia"/>
                <w:b/>
                <w:bCs/>
                <w:sz w:val="18"/>
                <w:szCs w:val="18"/>
              </w:rPr>
              <w:t>吨）</w:t>
            </w:r>
          </w:p>
        </w:tc>
      </w:tr>
      <w:tr w:rsidR="00AC250D" w:rsidTr="00580C90">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2010</w:t>
            </w:r>
            <w:r w:rsidRPr="0083108E">
              <w:rPr>
                <w:rFonts w:hint="eastAsia"/>
                <w:bCs/>
                <w:sz w:val="18"/>
                <w:szCs w:val="18"/>
              </w:rPr>
              <w:t>年平均</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2171</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2147</w:t>
            </w:r>
          </w:p>
        </w:tc>
        <w:tc>
          <w:tcPr>
            <w:tcW w:w="1725" w:type="dxa"/>
          </w:tcPr>
          <w:p w:rsidR="00AC250D" w:rsidRPr="0083108E" w:rsidRDefault="00AC250D" w:rsidP="0083108E">
            <w:pPr>
              <w:topLinePunct/>
              <w:adjustRightInd w:val="0"/>
              <w:snapToGrid w:val="0"/>
              <w:spacing w:line="300" w:lineRule="auto"/>
              <w:jc w:val="center"/>
              <w:rPr>
                <w:bCs/>
                <w:sz w:val="18"/>
                <w:szCs w:val="18"/>
              </w:rPr>
            </w:pP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16100</w:t>
            </w:r>
          </w:p>
        </w:tc>
      </w:tr>
      <w:tr w:rsidR="00AC250D" w:rsidTr="00580C90">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2011</w:t>
            </w:r>
            <w:r w:rsidRPr="0083108E">
              <w:rPr>
                <w:rFonts w:hint="eastAsia"/>
                <w:bCs/>
                <w:sz w:val="18"/>
                <w:szCs w:val="18"/>
              </w:rPr>
              <w:t>年平均</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2401</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2392</w:t>
            </w:r>
          </w:p>
        </w:tc>
        <w:tc>
          <w:tcPr>
            <w:tcW w:w="1725" w:type="dxa"/>
          </w:tcPr>
          <w:p w:rsidR="00AC250D" w:rsidRPr="0083108E" w:rsidRDefault="00AC250D" w:rsidP="0083108E">
            <w:pPr>
              <w:topLinePunct/>
              <w:adjustRightInd w:val="0"/>
              <w:snapToGrid w:val="0"/>
              <w:spacing w:line="300" w:lineRule="auto"/>
              <w:jc w:val="center"/>
              <w:rPr>
                <w:bCs/>
                <w:sz w:val="18"/>
                <w:szCs w:val="18"/>
              </w:rPr>
            </w:pP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16449</w:t>
            </w:r>
          </w:p>
        </w:tc>
      </w:tr>
      <w:tr w:rsidR="00AC250D" w:rsidTr="00580C90">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2012</w:t>
            </w:r>
            <w:r w:rsidRPr="0083108E">
              <w:rPr>
                <w:rFonts w:hint="eastAsia"/>
                <w:bCs/>
                <w:sz w:val="18"/>
                <w:szCs w:val="18"/>
              </w:rPr>
              <w:t>年平均</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2072</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2064</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15445</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15290</w:t>
            </w:r>
          </w:p>
        </w:tc>
      </w:tr>
      <w:tr w:rsidR="00AC250D" w:rsidTr="00580C90">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2013</w:t>
            </w:r>
            <w:r w:rsidRPr="0083108E">
              <w:rPr>
                <w:rFonts w:hint="eastAsia"/>
                <w:bCs/>
                <w:sz w:val="18"/>
                <w:szCs w:val="18"/>
              </w:rPr>
              <w:t>年平均</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2158</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2142</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14275</w:t>
            </w:r>
          </w:p>
        </w:tc>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14152</w:t>
            </w:r>
          </w:p>
        </w:tc>
      </w:tr>
      <w:tr w:rsidR="00AC250D" w:rsidTr="00580C90">
        <w:tc>
          <w:tcPr>
            <w:tcW w:w="1725" w:type="dxa"/>
          </w:tcPr>
          <w:p w:rsidR="00AC250D" w:rsidRPr="0083108E" w:rsidRDefault="002E1707" w:rsidP="0083108E">
            <w:pPr>
              <w:topLinePunct/>
              <w:adjustRightInd w:val="0"/>
              <w:snapToGrid w:val="0"/>
              <w:spacing w:line="300" w:lineRule="auto"/>
              <w:jc w:val="center"/>
              <w:rPr>
                <w:bCs/>
                <w:sz w:val="18"/>
                <w:szCs w:val="18"/>
              </w:rPr>
            </w:pPr>
            <w:r w:rsidRPr="0083108E">
              <w:rPr>
                <w:rFonts w:hint="eastAsia"/>
                <w:bCs/>
                <w:sz w:val="18"/>
                <w:szCs w:val="18"/>
              </w:rPr>
              <w:t>2014</w:t>
            </w:r>
            <w:r w:rsidRPr="0083108E">
              <w:rPr>
                <w:rFonts w:hint="eastAsia"/>
                <w:bCs/>
                <w:sz w:val="18"/>
                <w:szCs w:val="18"/>
              </w:rPr>
              <w:t>年</w:t>
            </w:r>
            <w:r w:rsidRPr="0083108E">
              <w:rPr>
                <w:rFonts w:hint="eastAsia"/>
                <w:bCs/>
                <w:sz w:val="18"/>
                <w:szCs w:val="18"/>
              </w:rPr>
              <w:t>1</w:t>
            </w:r>
            <w:r w:rsidRPr="0083108E">
              <w:rPr>
                <w:rFonts w:hint="eastAsia"/>
                <w:bCs/>
                <w:sz w:val="18"/>
                <w:szCs w:val="18"/>
              </w:rPr>
              <w:t>月平均</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2170</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2148</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14114</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14055</w:t>
            </w:r>
          </w:p>
        </w:tc>
      </w:tr>
      <w:tr w:rsidR="00AC250D" w:rsidTr="00580C90">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2014</w:t>
            </w:r>
            <w:r w:rsidRPr="0083108E">
              <w:rPr>
                <w:rFonts w:hint="eastAsia"/>
                <w:bCs/>
                <w:sz w:val="18"/>
                <w:szCs w:val="18"/>
              </w:rPr>
              <w:t>年</w:t>
            </w:r>
            <w:r w:rsidRPr="0083108E">
              <w:rPr>
                <w:rFonts w:hint="eastAsia"/>
                <w:bCs/>
                <w:sz w:val="18"/>
                <w:szCs w:val="18"/>
              </w:rPr>
              <w:t>2</w:t>
            </w:r>
            <w:r w:rsidRPr="0083108E">
              <w:rPr>
                <w:rFonts w:hint="eastAsia"/>
                <w:bCs/>
                <w:sz w:val="18"/>
                <w:szCs w:val="18"/>
              </w:rPr>
              <w:t>月平均</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2128</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2110</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13974</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13903</w:t>
            </w:r>
          </w:p>
        </w:tc>
      </w:tr>
      <w:tr w:rsidR="00AC250D" w:rsidTr="00580C90">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2014</w:t>
            </w:r>
            <w:r w:rsidRPr="0083108E">
              <w:rPr>
                <w:rFonts w:hint="eastAsia"/>
                <w:bCs/>
                <w:sz w:val="18"/>
                <w:szCs w:val="18"/>
              </w:rPr>
              <w:t>年</w:t>
            </w:r>
            <w:r w:rsidRPr="0083108E">
              <w:rPr>
                <w:rFonts w:hint="eastAsia"/>
                <w:bCs/>
                <w:sz w:val="18"/>
                <w:szCs w:val="18"/>
              </w:rPr>
              <w:t>3</w:t>
            </w:r>
            <w:r w:rsidRPr="0083108E">
              <w:rPr>
                <w:rFonts w:hint="eastAsia"/>
                <w:bCs/>
                <w:sz w:val="18"/>
                <w:szCs w:val="18"/>
              </w:rPr>
              <w:t>月平均</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2080</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2056</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13738</w:t>
            </w:r>
          </w:p>
        </w:tc>
        <w:tc>
          <w:tcPr>
            <w:tcW w:w="1725" w:type="dxa"/>
          </w:tcPr>
          <w:p w:rsidR="00AC250D" w:rsidRPr="0083108E" w:rsidRDefault="00500A09" w:rsidP="0083108E">
            <w:pPr>
              <w:topLinePunct/>
              <w:adjustRightInd w:val="0"/>
              <w:snapToGrid w:val="0"/>
              <w:spacing w:line="300" w:lineRule="auto"/>
              <w:jc w:val="center"/>
              <w:rPr>
                <w:bCs/>
                <w:sz w:val="18"/>
                <w:szCs w:val="18"/>
              </w:rPr>
            </w:pPr>
            <w:r w:rsidRPr="0083108E">
              <w:rPr>
                <w:rFonts w:hint="eastAsia"/>
                <w:bCs/>
                <w:sz w:val="18"/>
                <w:szCs w:val="18"/>
              </w:rPr>
              <w:t>13692</w:t>
            </w:r>
          </w:p>
        </w:tc>
      </w:tr>
      <w:tr w:rsidR="00AC250D" w:rsidTr="00580C90">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2014</w:t>
            </w:r>
            <w:r w:rsidRPr="0083108E">
              <w:rPr>
                <w:rFonts w:hint="eastAsia"/>
                <w:bCs/>
                <w:sz w:val="18"/>
                <w:szCs w:val="18"/>
              </w:rPr>
              <w:t>年</w:t>
            </w:r>
            <w:r w:rsidRPr="0083108E">
              <w:rPr>
                <w:rFonts w:hint="eastAsia"/>
                <w:bCs/>
                <w:sz w:val="18"/>
                <w:szCs w:val="18"/>
              </w:rPr>
              <w:t>4</w:t>
            </w:r>
            <w:r w:rsidRPr="0083108E">
              <w:rPr>
                <w:rFonts w:hint="eastAsia"/>
                <w:bCs/>
                <w:sz w:val="18"/>
                <w:szCs w:val="18"/>
              </w:rPr>
              <w:t>月平均</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2108</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2086</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13794</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13774</w:t>
            </w:r>
          </w:p>
        </w:tc>
      </w:tr>
      <w:tr w:rsidR="00AC250D" w:rsidTr="00580C90">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lastRenderedPageBreak/>
              <w:t>2014</w:t>
            </w:r>
            <w:r w:rsidRPr="0083108E">
              <w:rPr>
                <w:rFonts w:hint="eastAsia"/>
                <w:bCs/>
                <w:sz w:val="18"/>
                <w:szCs w:val="18"/>
              </w:rPr>
              <w:t>年</w:t>
            </w:r>
            <w:r w:rsidRPr="0083108E">
              <w:rPr>
                <w:rFonts w:hint="eastAsia"/>
                <w:bCs/>
                <w:sz w:val="18"/>
                <w:szCs w:val="18"/>
              </w:rPr>
              <w:t>1-4</w:t>
            </w:r>
            <w:r w:rsidRPr="0083108E">
              <w:rPr>
                <w:rFonts w:hint="eastAsia"/>
                <w:bCs/>
                <w:sz w:val="18"/>
                <w:szCs w:val="18"/>
              </w:rPr>
              <w:t>月平均</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2123</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2101</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13907</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13856</w:t>
            </w:r>
          </w:p>
        </w:tc>
      </w:tr>
      <w:tr w:rsidR="00AC250D" w:rsidTr="00580C90">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同比（</w:t>
            </w:r>
            <w:r w:rsidRPr="0083108E">
              <w:rPr>
                <w:rFonts w:hint="eastAsia"/>
                <w:bCs/>
                <w:sz w:val="18"/>
                <w:szCs w:val="18"/>
              </w:rPr>
              <w:t>%</w:t>
            </w:r>
            <w:r w:rsidRPr="0083108E">
              <w:rPr>
                <w:rFonts w:hint="eastAsia"/>
                <w:bCs/>
                <w:sz w:val="18"/>
                <w:szCs w:val="18"/>
              </w:rPr>
              <w:t>）</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-5.5</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-5.9</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-6.1</w:t>
            </w:r>
          </w:p>
        </w:tc>
        <w:tc>
          <w:tcPr>
            <w:tcW w:w="1725" w:type="dxa"/>
          </w:tcPr>
          <w:p w:rsidR="00AC250D" w:rsidRPr="0083108E" w:rsidRDefault="0083108E" w:rsidP="0083108E">
            <w:pPr>
              <w:topLinePunct/>
              <w:adjustRightInd w:val="0"/>
              <w:snapToGrid w:val="0"/>
              <w:spacing w:line="300" w:lineRule="auto"/>
              <w:jc w:val="center"/>
              <w:rPr>
                <w:bCs/>
                <w:sz w:val="18"/>
                <w:szCs w:val="18"/>
              </w:rPr>
            </w:pPr>
            <w:r w:rsidRPr="0083108E">
              <w:rPr>
                <w:rFonts w:hint="eastAsia"/>
                <w:bCs/>
                <w:sz w:val="18"/>
                <w:szCs w:val="18"/>
              </w:rPr>
              <w:t>-4.7</w:t>
            </w:r>
          </w:p>
        </w:tc>
      </w:tr>
    </w:tbl>
    <w:p w:rsidR="002E4721" w:rsidRPr="00BC3FF8" w:rsidRDefault="0083108E" w:rsidP="009034D9">
      <w:pPr>
        <w:topLinePunct/>
        <w:adjustRightInd w:val="0"/>
        <w:snapToGrid w:val="0"/>
        <w:spacing w:line="300" w:lineRule="auto"/>
        <w:jc w:val="left"/>
        <w:rPr>
          <w:rFonts w:hAnsi="宋体"/>
          <w:bCs/>
          <w:color w:val="993300"/>
          <w:sz w:val="18"/>
          <w:szCs w:val="18"/>
        </w:rPr>
      </w:pPr>
      <w:r w:rsidRPr="00A83677">
        <w:rPr>
          <w:rFonts w:hAnsi="宋体"/>
          <w:bCs/>
          <w:color w:val="993300"/>
          <w:sz w:val="18"/>
          <w:szCs w:val="18"/>
        </w:rPr>
        <w:t>资料来源：</w:t>
      </w:r>
      <w:r>
        <w:rPr>
          <w:rFonts w:hAnsi="宋体" w:hint="eastAsia"/>
          <w:bCs/>
          <w:color w:val="993300"/>
          <w:sz w:val="18"/>
          <w:szCs w:val="18"/>
        </w:rPr>
        <w:t>安泰科</w:t>
      </w:r>
      <w:r w:rsidRPr="00A83677">
        <w:rPr>
          <w:rFonts w:hAnsi="宋体"/>
          <w:bCs/>
          <w:color w:val="993300"/>
          <w:sz w:val="18"/>
          <w:szCs w:val="18"/>
        </w:rPr>
        <w:t>，金源期货</w:t>
      </w:r>
    </w:p>
    <w:p w:rsidR="00427465" w:rsidRPr="00330604" w:rsidRDefault="00427465" w:rsidP="00330604">
      <w:pPr>
        <w:pStyle w:val="1"/>
        <w:spacing w:line="480" w:lineRule="auto"/>
        <w:rPr>
          <w:rFonts w:ascii="宋体" w:hAnsi="宋体"/>
          <w:color w:val="993300"/>
          <w:sz w:val="32"/>
          <w:szCs w:val="32"/>
        </w:rPr>
      </w:pPr>
      <w:bookmarkStart w:id="136" w:name="_Toc258826732"/>
      <w:bookmarkStart w:id="137" w:name="_Toc274378943"/>
      <w:bookmarkStart w:id="138" w:name="_Toc275466166"/>
      <w:bookmarkStart w:id="139" w:name="_Toc329682354"/>
      <w:bookmarkStart w:id="140" w:name="_Toc340436165"/>
      <w:bookmarkStart w:id="141" w:name="_Toc389830949"/>
      <w:bookmarkStart w:id="142" w:name="_Toc274253781"/>
      <w:r w:rsidRPr="0021792B">
        <w:rPr>
          <w:rFonts w:ascii="宋体" w:hAnsi="宋体"/>
          <w:color w:val="993300"/>
          <w:sz w:val="32"/>
          <w:szCs w:val="32"/>
        </w:rPr>
        <w:t xml:space="preserve">第二部分    </w:t>
      </w:r>
      <w:r w:rsidR="000754AF" w:rsidRPr="0021792B">
        <w:rPr>
          <w:rFonts w:ascii="宋体" w:hAnsi="宋体" w:hint="eastAsia"/>
          <w:color w:val="993300"/>
          <w:sz w:val="32"/>
          <w:szCs w:val="32"/>
        </w:rPr>
        <w:t>锌</w:t>
      </w:r>
      <w:r w:rsidR="004C1ECB" w:rsidRPr="0021792B">
        <w:rPr>
          <w:rFonts w:ascii="宋体" w:hAnsi="宋体" w:hint="eastAsia"/>
          <w:color w:val="993300"/>
          <w:sz w:val="32"/>
          <w:szCs w:val="32"/>
        </w:rPr>
        <w:t>基本面</w:t>
      </w:r>
      <w:r w:rsidRPr="0021792B">
        <w:rPr>
          <w:rFonts w:ascii="宋体" w:hAnsi="宋体"/>
          <w:color w:val="993300"/>
          <w:sz w:val="32"/>
          <w:szCs w:val="32"/>
        </w:rPr>
        <w:t>分析</w:t>
      </w:r>
      <w:bookmarkEnd w:id="136"/>
      <w:bookmarkEnd w:id="137"/>
      <w:bookmarkEnd w:id="138"/>
      <w:bookmarkEnd w:id="139"/>
      <w:bookmarkEnd w:id="140"/>
      <w:bookmarkEnd w:id="141"/>
    </w:p>
    <w:p w:rsidR="00427465" w:rsidRPr="0021792B" w:rsidRDefault="00427465" w:rsidP="0021792B">
      <w:pPr>
        <w:pStyle w:val="3"/>
        <w:spacing w:line="360" w:lineRule="auto"/>
        <w:rPr>
          <w:rFonts w:ascii="宋体" w:hAnsi="宋体"/>
          <w:color w:val="993300"/>
          <w:sz w:val="21"/>
          <w:szCs w:val="21"/>
        </w:rPr>
      </w:pPr>
      <w:bookmarkStart w:id="143" w:name="_Toc275466175"/>
      <w:bookmarkStart w:id="144" w:name="_Toc329682355"/>
      <w:bookmarkStart w:id="145" w:name="_Toc340436166"/>
      <w:bookmarkStart w:id="146" w:name="_Toc389830950"/>
      <w:bookmarkEnd w:id="133"/>
      <w:bookmarkEnd w:id="142"/>
      <w:r w:rsidRPr="0021792B">
        <w:rPr>
          <w:rFonts w:ascii="宋体" w:hAnsi="宋体"/>
          <w:color w:val="993300"/>
          <w:sz w:val="21"/>
          <w:szCs w:val="21"/>
        </w:rPr>
        <w:t>1、</w:t>
      </w:r>
      <w:bookmarkEnd w:id="143"/>
      <w:r w:rsidR="00375417">
        <w:rPr>
          <w:rFonts w:ascii="宋体" w:hAnsi="宋体" w:hint="eastAsia"/>
          <w:color w:val="993300"/>
          <w:sz w:val="21"/>
          <w:szCs w:val="21"/>
        </w:rPr>
        <w:t>全球</w:t>
      </w:r>
      <w:r w:rsidR="00F42FF3">
        <w:rPr>
          <w:rFonts w:ascii="宋体" w:hAnsi="宋体" w:hint="eastAsia"/>
          <w:color w:val="993300"/>
          <w:sz w:val="21"/>
          <w:szCs w:val="21"/>
        </w:rPr>
        <w:t>精炼</w:t>
      </w:r>
      <w:r w:rsidR="00840990">
        <w:rPr>
          <w:rFonts w:ascii="宋体" w:hAnsi="宋体" w:hint="eastAsia"/>
          <w:color w:val="993300"/>
          <w:sz w:val="21"/>
          <w:szCs w:val="21"/>
        </w:rPr>
        <w:t>锌</w:t>
      </w:r>
      <w:r w:rsidR="00F42FF3">
        <w:rPr>
          <w:rFonts w:ascii="宋体" w:hAnsi="宋体" w:hint="eastAsia"/>
          <w:color w:val="993300"/>
          <w:sz w:val="21"/>
          <w:szCs w:val="21"/>
        </w:rPr>
        <w:t>市场</w:t>
      </w:r>
      <w:bookmarkEnd w:id="144"/>
      <w:bookmarkEnd w:id="145"/>
      <w:r w:rsidR="003A5671">
        <w:rPr>
          <w:rFonts w:ascii="宋体" w:hAnsi="宋体" w:hint="eastAsia"/>
          <w:color w:val="993300"/>
          <w:sz w:val="21"/>
          <w:szCs w:val="21"/>
        </w:rPr>
        <w:t>供需基本平衡</w:t>
      </w:r>
      <w:bookmarkEnd w:id="146"/>
    </w:p>
    <w:p w:rsidR="00A77E70" w:rsidRDefault="0005163C" w:rsidP="0005163C">
      <w:pPr>
        <w:tabs>
          <w:tab w:val="left" w:pos="7230"/>
        </w:tabs>
        <w:spacing w:line="300" w:lineRule="auto"/>
        <w:ind w:firstLineChars="200" w:firstLine="440"/>
        <w:rPr>
          <w:rFonts w:asciiTheme="minorEastAsia" w:eastAsiaTheme="minorEastAsia" w:hAnsiTheme="minorEastAsia" w:cs="宋体"/>
          <w:color w:val="000000"/>
          <w:kern w:val="0"/>
          <w:sz w:val="22"/>
          <w:szCs w:val="22"/>
        </w:rPr>
      </w:pPr>
      <w:r w:rsidRPr="0005163C">
        <w:rPr>
          <w:rFonts w:asciiTheme="minorEastAsia" w:eastAsiaTheme="minorEastAsia" w:hAnsiTheme="minorEastAsia" w:cs="宋体"/>
          <w:color w:val="000000"/>
          <w:kern w:val="0"/>
          <w:sz w:val="22"/>
          <w:szCs w:val="22"/>
        </w:rPr>
        <w:t>世界</w:t>
      </w:r>
      <w:hyperlink r:id="rId14" w:tgtFrame="_blank" w:tooltip="金属" w:history="1">
        <w:r w:rsidRPr="0005163C">
          <w:rPr>
            <w:rFonts w:asciiTheme="minorEastAsia" w:eastAsiaTheme="minorEastAsia" w:hAnsiTheme="minorEastAsia" w:cs="宋体"/>
            <w:color w:val="000000"/>
            <w:kern w:val="0"/>
            <w:sz w:val="22"/>
            <w:szCs w:val="22"/>
          </w:rPr>
          <w:t>金属</w:t>
        </w:r>
      </w:hyperlink>
      <w:r w:rsidRPr="0005163C">
        <w:rPr>
          <w:rFonts w:asciiTheme="minorEastAsia" w:eastAsiaTheme="minorEastAsia" w:hAnsiTheme="minorEastAsia" w:cs="宋体"/>
          <w:color w:val="000000"/>
          <w:kern w:val="0"/>
          <w:sz w:val="22"/>
          <w:szCs w:val="22"/>
        </w:rPr>
        <w:t>统计局(WBMS)</w:t>
      </w:r>
      <w:r w:rsidRPr="0005163C">
        <w:rPr>
          <w:rFonts w:asciiTheme="minorEastAsia" w:eastAsiaTheme="minorEastAsia" w:hAnsiTheme="minorEastAsia" w:cs="宋体" w:hint="eastAsia"/>
          <w:color w:val="000000"/>
          <w:kern w:val="0"/>
          <w:sz w:val="22"/>
          <w:szCs w:val="22"/>
        </w:rPr>
        <w:t>最新</w:t>
      </w:r>
      <w:r w:rsidRPr="0005163C">
        <w:rPr>
          <w:rFonts w:asciiTheme="minorEastAsia" w:eastAsiaTheme="minorEastAsia" w:hAnsiTheme="minorEastAsia" w:cs="宋体"/>
          <w:color w:val="000000"/>
          <w:kern w:val="0"/>
          <w:sz w:val="22"/>
          <w:szCs w:val="22"/>
        </w:rPr>
        <w:t>公布的报告显示，2014年1-3月全球锌市供应过剩6.6万吨，2013年全年过剩11.5万吨</w:t>
      </w:r>
      <w:r w:rsidR="00F33CDC" w:rsidRPr="00F33CDC">
        <w:rPr>
          <w:rFonts w:asciiTheme="minorEastAsia" w:eastAsiaTheme="minorEastAsia" w:hAnsiTheme="minorEastAsia" w:cs="宋体" w:hint="eastAsia"/>
          <w:color w:val="000000"/>
          <w:kern w:val="0"/>
          <w:sz w:val="22"/>
          <w:szCs w:val="22"/>
        </w:rPr>
        <w:t>。</w:t>
      </w:r>
      <w:r w:rsidR="00A77E70">
        <w:rPr>
          <w:rFonts w:asciiTheme="minorEastAsia" w:eastAsiaTheme="minorEastAsia" w:hAnsiTheme="minorEastAsia" w:cs="宋体" w:hint="eastAsia"/>
          <w:color w:val="000000"/>
          <w:kern w:val="0"/>
          <w:sz w:val="22"/>
          <w:szCs w:val="22"/>
        </w:rPr>
        <w:t>从左下方的图中可以很明显地看出，虽然近期过剩量小幅反弹，但依旧处于09年11月以来的低位。</w:t>
      </w:r>
    </w:p>
    <w:p w:rsidR="000377D7" w:rsidRDefault="0005163C" w:rsidP="0005163C">
      <w:pPr>
        <w:tabs>
          <w:tab w:val="left" w:pos="7230"/>
        </w:tabs>
        <w:spacing w:line="300" w:lineRule="auto"/>
        <w:ind w:firstLineChars="200" w:firstLine="440"/>
        <w:rPr>
          <w:rFonts w:asciiTheme="minorEastAsia" w:eastAsiaTheme="minorEastAsia" w:hAnsiTheme="minorEastAsia" w:cs="宋体"/>
          <w:color w:val="000000"/>
          <w:kern w:val="0"/>
          <w:sz w:val="22"/>
          <w:szCs w:val="22"/>
        </w:rPr>
      </w:pPr>
      <w:r w:rsidRPr="0005163C">
        <w:rPr>
          <w:rFonts w:asciiTheme="minorEastAsia" w:eastAsiaTheme="minorEastAsia" w:hAnsiTheme="minorEastAsia" w:cs="宋体" w:hint="eastAsia"/>
          <w:color w:val="000000"/>
          <w:kern w:val="0"/>
          <w:sz w:val="22"/>
          <w:szCs w:val="22"/>
        </w:rPr>
        <w:t>另一家权威机构</w:t>
      </w:r>
      <w:r w:rsidRPr="0005163C">
        <w:rPr>
          <w:rFonts w:asciiTheme="minorEastAsia" w:eastAsiaTheme="minorEastAsia" w:hAnsiTheme="minorEastAsia" w:cs="宋体"/>
          <w:color w:val="000000"/>
          <w:kern w:val="0"/>
          <w:sz w:val="22"/>
          <w:szCs w:val="22"/>
        </w:rPr>
        <w:t>—</w:t>
      </w:r>
      <w:r w:rsidRPr="0005163C">
        <w:rPr>
          <w:rFonts w:asciiTheme="minorEastAsia" w:eastAsiaTheme="minorEastAsia" w:hAnsiTheme="minorEastAsia" w:cs="宋体" w:hint="eastAsia"/>
          <w:color w:val="000000"/>
          <w:kern w:val="0"/>
          <w:sz w:val="22"/>
          <w:szCs w:val="22"/>
        </w:rPr>
        <w:t>国际铅锌研究小组（ILZSG）最新公布，2014年1-3月，全球锌市场供应短缺1</w:t>
      </w:r>
      <w:r w:rsidR="00575DA2">
        <w:rPr>
          <w:rFonts w:asciiTheme="minorEastAsia" w:eastAsiaTheme="minorEastAsia" w:hAnsiTheme="minorEastAsia" w:cs="宋体" w:hint="eastAsia"/>
          <w:color w:val="000000"/>
          <w:kern w:val="0"/>
          <w:sz w:val="22"/>
          <w:szCs w:val="22"/>
        </w:rPr>
        <w:t>.7万</w:t>
      </w:r>
      <w:r w:rsidRPr="0005163C">
        <w:rPr>
          <w:rFonts w:asciiTheme="minorEastAsia" w:eastAsiaTheme="minorEastAsia" w:hAnsiTheme="minorEastAsia" w:cs="宋体" w:hint="eastAsia"/>
          <w:color w:val="000000"/>
          <w:kern w:val="0"/>
          <w:sz w:val="22"/>
          <w:szCs w:val="22"/>
        </w:rPr>
        <w:t>吨。</w:t>
      </w:r>
      <w:r w:rsidR="00575DA2">
        <w:rPr>
          <w:rFonts w:asciiTheme="minorEastAsia" w:eastAsiaTheme="minorEastAsia" w:hAnsiTheme="minorEastAsia" w:cs="宋体" w:hint="eastAsia"/>
          <w:color w:val="000000"/>
          <w:kern w:val="0"/>
          <w:sz w:val="22"/>
          <w:szCs w:val="22"/>
        </w:rPr>
        <w:t>其中，今年</w:t>
      </w:r>
      <w:r w:rsidR="00575DA2" w:rsidRPr="0005163C">
        <w:rPr>
          <w:rFonts w:asciiTheme="minorEastAsia" w:eastAsiaTheme="minorEastAsia" w:hAnsiTheme="minorEastAsia" w:cs="宋体" w:hint="eastAsia"/>
          <w:color w:val="000000"/>
          <w:kern w:val="0"/>
          <w:sz w:val="22"/>
          <w:szCs w:val="22"/>
        </w:rPr>
        <w:t>1-3月精炼锌总产量达到321.4万吨，消费量为323.1</w:t>
      </w:r>
      <w:r w:rsidR="00575DA2">
        <w:rPr>
          <w:rFonts w:asciiTheme="minorEastAsia" w:eastAsiaTheme="minorEastAsia" w:hAnsiTheme="minorEastAsia" w:cs="宋体" w:hint="eastAsia"/>
          <w:color w:val="000000"/>
          <w:kern w:val="0"/>
          <w:sz w:val="22"/>
          <w:szCs w:val="22"/>
        </w:rPr>
        <w:t>万吨</w:t>
      </w:r>
      <w:r w:rsidR="00575DA2" w:rsidRPr="00576D86">
        <w:rPr>
          <w:rFonts w:asciiTheme="minorEastAsia" w:eastAsiaTheme="minorEastAsia" w:hAnsiTheme="minorEastAsia" w:cs="宋体" w:hint="eastAsia"/>
          <w:color w:val="000000"/>
          <w:kern w:val="0"/>
          <w:sz w:val="22"/>
          <w:szCs w:val="22"/>
        </w:rPr>
        <w:t>。</w:t>
      </w:r>
      <w:r w:rsidRPr="0005163C">
        <w:rPr>
          <w:rFonts w:asciiTheme="minorEastAsia" w:eastAsiaTheme="minorEastAsia" w:hAnsiTheme="minorEastAsia" w:cs="宋体" w:hint="eastAsia"/>
          <w:color w:val="000000"/>
          <w:kern w:val="0"/>
          <w:sz w:val="22"/>
          <w:szCs w:val="22"/>
        </w:rPr>
        <w:t>2013年同期供应过剩量为7</w:t>
      </w:r>
      <w:r w:rsidR="00575DA2">
        <w:rPr>
          <w:rFonts w:asciiTheme="minorEastAsia" w:eastAsiaTheme="minorEastAsia" w:hAnsiTheme="minorEastAsia" w:cs="宋体" w:hint="eastAsia"/>
          <w:color w:val="000000"/>
          <w:kern w:val="0"/>
          <w:sz w:val="22"/>
          <w:szCs w:val="22"/>
        </w:rPr>
        <w:t>.2万吨</w:t>
      </w:r>
      <w:r w:rsidRPr="0005163C">
        <w:rPr>
          <w:rFonts w:asciiTheme="minorEastAsia" w:eastAsiaTheme="minorEastAsia" w:hAnsiTheme="minorEastAsia" w:cs="宋体" w:hint="eastAsia"/>
          <w:color w:val="000000"/>
          <w:kern w:val="0"/>
          <w:sz w:val="22"/>
          <w:szCs w:val="22"/>
        </w:rPr>
        <w:t>。</w:t>
      </w:r>
    </w:p>
    <w:p w:rsidR="00576D86" w:rsidRDefault="00576D86" w:rsidP="0094769D">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两家机构的统计数据虽有所出入，但都显示了全球锌市供应过剩的格局</w:t>
      </w:r>
      <w:r w:rsidR="00157D3F">
        <w:rPr>
          <w:rFonts w:asciiTheme="minorEastAsia" w:eastAsiaTheme="minorEastAsia" w:hAnsiTheme="minorEastAsia" w:cs="宋体" w:hint="eastAsia"/>
          <w:color w:val="000000"/>
          <w:kern w:val="0"/>
          <w:sz w:val="22"/>
          <w:szCs w:val="22"/>
        </w:rPr>
        <w:t>明显得到缓解，</w:t>
      </w:r>
      <w:r w:rsidR="002A0004">
        <w:rPr>
          <w:rFonts w:asciiTheme="minorEastAsia" w:eastAsiaTheme="minorEastAsia" w:hAnsiTheme="minorEastAsia" w:cs="宋体" w:hint="eastAsia"/>
          <w:color w:val="000000"/>
          <w:kern w:val="0"/>
          <w:sz w:val="22"/>
          <w:szCs w:val="22"/>
        </w:rPr>
        <w:t>过剩量明显减少</w:t>
      </w:r>
      <w:r w:rsidR="00DD1AFF">
        <w:rPr>
          <w:rFonts w:asciiTheme="minorEastAsia" w:eastAsiaTheme="minorEastAsia" w:hAnsiTheme="minorEastAsia" w:cs="宋体" w:hint="eastAsia"/>
          <w:color w:val="000000"/>
          <w:kern w:val="0"/>
          <w:sz w:val="22"/>
          <w:szCs w:val="22"/>
        </w:rPr>
        <w:t>，甚至出现了略微紧缺的状况</w:t>
      </w:r>
      <w:r>
        <w:rPr>
          <w:rFonts w:asciiTheme="minorEastAsia" w:eastAsiaTheme="minorEastAsia" w:hAnsiTheme="minorEastAsia" w:cs="宋体" w:hint="eastAsia"/>
          <w:color w:val="000000"/>
          <w:kern w:val="0"/>
          <w:sz w:val="22"/>
          <w:szCs w:val="22"/>
        </w:rPr>
        <w:t>。</w:t>
      </w:r>
    </w:p>
    <w:p w:rsidR="00C74723" w:rsidRPr="0042161F" w:rsidRDefault="00C74723" w:rsidP="00C74723">
      <w:pPr>
        <w:pStyle w:val="a8"/>
        <w:keepNext/>
      </w:pPr>
      <w:r>
        <w:rPr>
          <w:rFonts w:hint="eastAsia"/>
        </w:rPr>
        <w:t>图表</w:t>
      </w:r>
      <w:r>
        <w:rPr>
          <w:rFonts w:hint="eastAsia"/>
        </w:rPr>
        <w:t xml:space="preserve"> 3  WBMS</w:t>
      </w:r>
      <w:r>
        <w:rPr>
          <w:rFonts w:hint="eastAsia"/>
        </w:rPr>
        <w:t>全球锌供需情况</w:t>
      </w:r>
      <w:r>
        <w:rPr>
          <w:rFonts w:hint="eastAsia"/>
        </w:rPr>
        <w:t xml:space="preserve">                           </w:t>
      </w:r>
      <w:r>
        <w:rPr>
          <w:rFonts w:hint="eastAsia"/>
        </w:rPr>
        <w:t>图表</w:t>
      </w:r>
      <w:r>
        <w:rPr>
          <w:rFonts w:hint="eastAsia"/>
        </w:rPr>
        <w:t xml:space="preserve"> 4  ILZSG</w:t>
      </w:r>
      <w:r>
        <w:rPr>
          <w:rFonts w:hint="eastAsia"/>
        </w:rPr>
        <w:t>全球锌供需情况</w:t>
      </w:r>
    </w:p>
    <w:tbl>
      <w:tblPr>
        <w:tblW w:w="11056" w:type="dxa"/>
        <w:jc w:val="center"/>
        <w:tblInd w:w="1061" w:type="dxa"/>
        <w:tblBorders>
          <w:top w:val="single" w:sz="12" w:space="0" w:color="C0504D"/>
          <w:bottom w:val="single" w:sz="12" w:space="0" w:color="C0504D"/>
          <w:insideH w:val="single" w:sz="4" w:space="0" w:color="auto"/>
        </w:tblBorders>
        <w:tblLayout w:type="fixed"/>
        <w:tblLook w:val="04A0"/>
      </w:tblPr>
      <w:tblGrid>
        <w:gridCol w:w="5528"/>
        <w:gridCol w:w="5528"/>
      </w:tblGrid>
      <w:tr w:rsidR="00C74723" w:rsidTr="005B7449">
        <w:trPr>
          <w:trHeight w:val="3969"/>
          <w:jc w:val="center"/>
        </w:trPr>
        <w:tc>
          <w:tcPr>
            <w:tcW w:w="5528" w:type="dxa"/>
          </w:tcPr>
          <w:p w:rsidR="00C74723" w:rsidRPr="009344A3" w:rsidRDefault="00C74723" w:rsidP="005B7449">
            <w:pPr>
              <w:tabs>
                <w:tab w:val="left" w:pos="1493"/>
              </w:tabs>
              <w:ind w:leftChars="-238" w:left="-500" w:rightChars="90" w:right="189" w:firstLineChars="153" w:firstLine="367"/>
              <w:jc w:val="right"/>
              <w:rPr>
                <w:rFonts w:ascii="宋体" w:cs="宋体"/>
                <w:color w:val="002C57"/>
                <w:kern w:val="0"/>
                <w:sz w:val="24"/>
                <w:lang w:val="zh-CN"/>
              </w:rPr>
            </w:pPr>
            <w:r w:rsidRPr="00E624B4">
              <w:rPr>
                <w:rFonts w:ascii="宋体" w:cs="宋体"/>
                <w:noProof/>
                <w:color w:val="002C57"/>
                <w:kern w:val="0"/>
                <w:sz w:val="24"/>
              </w:rPr>
              <w:drawing>
                <wp:inline distT="0" distB="0" distL="0" distR="0">
                  <wp:extent cx="3445459" cy="2414016"/>
                  <wp:effectExtent l="0" t="0" r="0" b="0"/>
                  <wp:docPr id="27"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528" w:type="dxa"/>
          </w:tcPr>
          <w:p w:rsidR="00C74723" w:rsidRPr="009344A3" w:rsidRDefault="00C74723" w:rsidP="005B7449">
            <w:pPr>
              <w:ind w:leftChars="-82" w:left="-172" w:rightChars="-90" w:right="-189"/>
              <w:jc w:val="center"/>
              <w:rPr>
                <w:rFonts w:ascii="宋体" w:cs="宋体"/>
                <w:color w:val="002C57"/>
                <w:kern w:val="0"/>
                <w:sz w:val="24"/>
                <w:lang w:val="zh-CN"/>
              </w:rPr>
            </w:pPr>
            <w:r w:rsidRPr="00794693">
              <w:rPr>
                <w:rFonts w:ascii="宋体" w:cs="宋体"/>
                <w:noProof/>
                <w:color w:val="002C57"/>
                <w:kern w:val="0"/>
                <w:sz w:val="24"/>
              </w:rPr>
              <w:drawing>
                <wp:inline distT="0" distB="0" distL="0" distR="0">
                  <wp:extent cx="3647770" cy="2479853"/>
                  <wp:effectExtent l="0" t="0" r="0" b="0"/>
                  <wp:docPr id="28"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8523B1" w:rsidRPr="00C74723" w:rsidRDefault="00C74723" w:rsidP="00C74723">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sidRPr="004E44A4">
        <w:rPr>
          <w:rFonts w:hAnsi="宋体" w:hint="eastAsia"/>
          <w:bCs/>
          <w:color w:val="993300"/>
          <w:sz w:val="18"/>
          <w:szCs w:val="18"/>
        </w:rPr>
        <w:t>W</w:t>
      </w:r>
      <w:r w:rsidR="0035222C">
        <w:rPr>
          <w:rFonts w:hAnsi="宋体" w:hint="eastAsia"/>
          <w:bCs/>
          <w:color w:val="993300"/>
          <w:sz w:val="18"/>
          <w:szCs w:val="18"/>
        </w:rPr>
        <w:t>ind</w:t>
      </w:r>
      <w:r>
        <w:rPr>
          <w:rFonts w:hAnsi="宋体" w:hint="eastAsia"/>
          <w:bCs/>
          <w:color w:val="993300"/>
          <w:sz w:val="18"/>
          <w:szCs w:val="18"/>
        </w:rPr>
        <w:t>，</w:t>
      </w:r>
      <w:r w:rsidRPr="004E44A4">
        <w:rPr>
          <w:rFonts w:hAnsi="宋体" w:hint="eastAsia"/>
          <w:bCs/>
          <w:color w:val="993300"/>
          <w:sz w:val="18"/>
          <w:szCs w:val="18"/>
        </w:rPr>
        <w:t>金源期货</w:t>
      </w:r>
    </w:p>
    <w:p w:rsidR="00277BFD" w:rsidRPr="00277BFD" w:rsidRDefault="008523B1" w:rsidP="00277BFD">
      <w:pPr>
        <w:pStyle w:val="3"/>
        <w:numPr>
          <w:ilvl w:val="0"/>
          <w:numId w:val="24"/>
        </w:numPr>
        <w:spacing w:line="360" w:lineRule="auto"/>
        <w:rPr>
          <w:rFonts w:ascii="宋体" w:hAnsi="宋体"/>
          <w:color w:val="993300"/>
          <w:sz w:val="21"/>
          <w:szCs w:val="21"/>
        </w:rPr>
      </w:pPr>
      <w:bookmarkStart w:id="147" w:name="_Toc389830951"/>
      <w:r>
        <w:rPr>
          <w:rFonts w:ascii="宋体" w:hAnsi="宋体" w:hint="eastAsia"/>
          <w:color w:val="993300"/>
          <w:sz w:val="21"/>
          <w:szCs w:val="21"/>
        </w:rPr>
        <w:t>全球锌市场</w:t>
      </w:r>
      <w:r w:rsidR="00EE0673">
        <w:rPr>
          <w:rFonts w:ascii="宋体" w:hAnsi="宋体" w:hint="eastAsia"/>
          <w:color w:val="993300"/>
          <w:sz w:val="21"/>
          <w:szCs w:val="21"/>
        </w:rPr>
        <w:t>供需</w:t>
      </w:r>
      <w:r>
        <w:rPr>
          <w:rFonts w:ascii="宋体" w:hAnsi="宋体" w:hint="eastAsia"/>
          <w:color w:val="993300"/>
          <w:sz w:val="21"/>
          <w:szCs w:val="21"/>
        </w:rPr>
        <w:t>展望</w:t>
      </w:r>
      <w:bookmarkEnd w:id="147"/>
    </w:p>
    <w:p w:rsidR="0012700C" w:rsidRDefault="004F4AB1" w:rsidP="00DF1089">
      <w:pPr>
        <w:tabs>
          <w:tab w:val="left" w:pos="7230"/>
        </w:tabs>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据</w:t>
      </w:r>
      <w:r w:rsidR="008523B1" w:rsidRPr="008523B1">
        <w:rPr>
          <w:rFonts w:asciiTheme="minorEastAsia" w:eastAsiaTheme="minorEastAsia" w:hAnsiTheme="minorEastAsia" w:cs="宋体" w:hint="eastAsia"/>
          <w:color w:val="000000"/>
          <w:kern w:val="0"/>
          <w:sz w:val="22"/>
          <w:szCs w:val="22"/>
        </w:rPr>
        <w:t>国际铅锌研究小组（ILZSG）</w:t>
      </w:r>
      <w:r>
        <w:rPr>
          <w:rFonts w:asciiTheme="minorEastAsia" w:eastAsiaTheme="minorEastAsia" w:hAnsiTheme="minorEastAsia" w:cs="宋体" w:hint="eastAsia"/>
          <w:color w:val="000000"/>
          <w:kern w:val="0"/>
          <w:sz w:val="22"/>
          <w:szCs w:val="22"/>
        </w:rPr>
        <w:t>2014年春季会议报告，他们</w:t>
      </w:r>
      <w:r w:rsidR="008523B1" w:rsidRPr="008523B1">
        <w:rPr>
          <w:rFonts w:asciiTheme="minorEastAsia" w:eastAsiaTheme="minorEastAsia" w:hAnsiTheme="minorEastAsia" w:cs="宋体" w:hint="eastAsia"/>
          <w:color w:val="000000"/>
          <w:kern w:val="0"/>
          <w:sz w:val="22"/>
          <w:szCs w:val="22"/>
        </w:rPr>
        <w:t>预计</w:t>
      </w:r>
      <w:r w:rsidR="008523B1">
        <w:rPr>
          <w:rFonts w:asciiTheme="minorEastAsia" w:eastAsiaTheme="minorEastAsia" w:hAnsiTheme="minorEastAsia" w:cs="宋体" w:hint="eastAsia"/>
          <w:color w:val="000000"/>
          <w:kern w:val="0"/>
          <w:sz w:val="22"/>
          <w:szCs w:val="22"/>
        </w:rPr>
        <w:t>2014年全球锌矿供应增长2.6%，其中中国增长3.6%，澳大利亚增长7.2%</w:t>
      </w:r>
      <w:r w:rsidR="00DF1089">
        <w:rPr>
          <w:rFonts w:asciiTheme="minorEastAsia" w:eastAsiaTheme="minorEastAsia" w:hAnsiTheme="minorEastAsia" w:cs="宋体" w:hint="eastAsia"/>
          <w:color w:val="000000"/>
          <w:kern w:val="0"/>
          <w:sz w:val="22"/>
          <w:szCs w:val="22"/>
        </w:rPr>
        <w:t>，印度增长3.4%，拉美增长2.3%，欧洲增长1%。</w:t>
      </w:r>
      <w:r>
        <w:rPr>
          <w:rFonts w:asciiTheme="minorEastAsia" w:eastAsiaTheme="minorEastAsia" w:hAnsiTheme="minorEastAsia" w:cs="宋体" w:hint="eastAsia"/>
          <w:color w:val="000000"/>
          <w:kern w:val="0"/>
          <w:sz w:val="22"/>
          <w:szCs w:val="22"/>
        </w:rPr>
        <w:t>据此，他们预计2014年全球精炼锌供应增长4.4%。需求方面，</w:t>
      </w:r>
      <w:r w:rsidRPr="008523B1">
        <w:rPr>
          <w:rFonts w:asciiTheme="minorEastAsia" w:eastAsiaTheme="minorEastAsia" w:hAnsiTheme="minorEastAsia" w:cs="宋体" w:hint="eastAsia"/>
          <w:color w:val="000000"/>
          <w:kern w:val="0"/>
          <w:sz w:val="22"/>
          <w:szCs w:val="22"/>
        </w:rPr>
        <w:t>国际铅锌研究小组</w:t>
      </w:r>
      <w:r w:rsidR="00DF1089">
        <w:rPr>
          <w:rFonts w:asciiTheme="minorEastAsia" w:eastAsiaTheme="minorEastAsia" w:hAnsiTheme="minorEastAsia" w:cs="宋体" w:hint="eastAsia"/>
          <w:color w:val="000000"/>
          <w:kern w:val="0"/>
          <w:sz w:val="22"/>
          <w:szCs w:val="22"/>
        </w:rPr>
        <w:t>预计</w:t>
      </w:r>
      <w:r w:rsidR="008523B1" w:rsidRPr="008523B1">
        <w:rPr>
          <w:rFonts w:asciiTheme="minorEastAsia" w:eastAsiaTheme="minorEastAsia" w:hAnsiTheme="minorEastAsia" w:cs="宋体" w:hint="eastAsia"/>
          <w:color w:val="000000"/>
          <w:kern w:val="0"/>
          <w:sz w:val="22"/>
          <w:szCs w:val="22"/>
        </w:rPr>
        <w:t>2014年全球锌需求将增长4.5%，其中2014年欧洲锌需求增长3%，美国锌</w:t>
      </w:r>
      <w:r w:rsidR="008523B1" w:rsidRPr="008523B1">
        <w:rPr>
          <w:rFonts w:asciiTheme="minorEastAsia" w:eastAsiaTheme="minorEastAsia" w:hAnsiTheme="minorEastAsia" w:cs="宋体" w:hint="eastAsia"/>
          <w:color w:val="000000"/>
          <w:kern w:val="0"/>
          <w:sz w:val="22"/>
          <w:szCs w:val="22"/>
        </w:rPr>
        <w:lastRenderedPageBreak/>
        <w:t>需求增长1.7%。</w:t>
      </w:r>
      <w:r>
        <w:rPr>
          <w:rFonts w:asciiTheme="minorEastAsia" w:eastAsiaTheme="minorEastAsia" w:hAnsiTheme="minorEastAsia" w:cs="宋体" w:hint="eastAsia"/>
          <w:color w:val="000000"/>
          <w:kern w:val="0"/>
          <w:sz w:val="22"/>
          <w:szCs w:val="22"/>
        </w:rPr>
        <w:t>总的来说，2014年全球锌市场继续处于供应短缺格局，且短缺量较2013年有所扩大，在10万吨左右。</w:t>
      </w:r>
    </w:p>
    <w:p w:rsidR="0090015E" w:rsidRPr="008523B1" w:rsidRDefault="0090015E" w:rsidP="00DF1089">
      <w:pPr>
        <w:tabs>
          <w:tab w:val="left" w:pos="7230"/>
        </w:tabs>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另一家机构</w:t>
      </w:r>
      <w:r>
        <w:rPr>
          <w:rFonts w:asciiTheme="minorEastAsia" w:eastAsiaTheme="minorEastAsia" w:hAnsiTheme="minorEastAsia" w:cs="宋体"/>
          <w:color w:val="000000"/>
          <w:kern w:val="0"/>
          <w:sz w:val="22"/>
          <w:szCs w:val="22"/>
        </w:rPr>
        <w:t>—</w:t>
      </w:r>
      <w:r>
        <w:rPr>
          <w:rFonts w:asciiTheme="minorEastAsia" w:eastAsiaTheme="minorEastAsia" w:hAnsiTheme="minorEastAsia" w:cs="宋体" w:hint="eastAsia"/>
          <w:color w:val="000000"/>
          <w:kern w:val="0"/>
          <w:sz w:val="22"/>
          <w:szCs w:val="22"/>
        </w:rPr>
        <w:t>国际锌协会（IZA）则称，未来三年去求锌消费总量有望增加190万吨，主要原因是锌作为农业</w:t>
      </w:r>
      <w:r w:rsidR="009D4563">
        <w:rPr>
          <w:rFonts w:asciiTheme="minorEastAsia" w:eastAsiaTheme="minorEastAsia" w:hAnsiTheme="minorEastAsia" w:cs="宋体" w:hint="eastAsia"/>
          <w:color w:val="000000"/>
          <w:kern w:val="0"/>
          <w:sz w:val="22"/>
          <w:szCs w:val="22"/>
        </w:rPr>
        <w:t>肥料</w:t>
      </w:r>
      <w:r>
        <w:rPr>
          <w:rFonts w:asciiTheme="minorEastAsia" w:eastAsiaTheme="minorEastAsia" w:hAnsiTheme="minorEastAsia" w:cs="宋体" w:hint="eastAsia"/>
          <w:color w:val="000000"/>
          <w:kern w:val="0"/>
          <w:sz w:val="22"/>
          <w:szCs w:val="22"/>
        </w:rPr>
        <w:t>中不可或缺的元素，其在肥料中的应用将会越来越广泛。他们表示未来最有增长潜力的三个国家分别是中国、印度和巴西，未来三年这三个国家的锌消费量有望增长30万吨以上。</w:t>
      </w:r>
    </w:p>
    <w:p w:rsidR="00C35D4A" w:rsidRPr="0021792B" w:rsidRDefault="008A0087" w:rsidP="00277BFD">
      <w:pPr>
        <w:pStyle w:val="3"/>
        <w:numPr>
          <w:ilvl w:val="0"/>
          <w:numId w:val="24"/>
        </w:numPr>
        <w:spacing w:line="360" w:lineRule="auto"/>
        <w:rPr>
          <w:rFonts w:ascii="宋体" w:hAnsi="宋体"/>
          <w:color w:val="993300"/>
          <w:sz w:val="21"/>
          <w:szCs w:val="21"/>
        </w:rPr>
      </w:pPr>
      <w:bookmarkStart w:id="148" w:name="_Toc389830952"/>
      <w:r>
        <w:rPr>
          <w:rFonts w:ascii="宋体" w:hAnsi="宋体" w:hint="eastAsia"/>
          <w:color w:val="993300"/>
          <w:sz w:val="21"/>
          <w:szCs w:val="21"/>
        </w:rPr>
        <w:t>交易所</w:t>
      </w:r>
      <w:r w:rsidR="003A5671">
        <w:rPr>
          <w:rFonts w:ascii="宋体" w:hAnsi="宋体" w:hint="eastAsia"/>
          <w:color w:val="993300"/>
          <w:sz w:val="21"/>
          <w:szCs w:val="21"/>
        </w:rPr>
        <w:t>锌库存</w:t>
      </w:r>
      <w:r>
        <w:rPr>
          <w:rFonts w:ascii="宋体" w:hAnsi="宋体" w:hint="eastAsia"/>
          <w:color w:val="993300"/>
          <w:sz w:val="21"/>
          <w:szCs w:val="21"/>
        </w:rPr>
        <w:t>整体回落</w:t>
      </w:r>
      <w:bookmarkEnd w:id="148"/>
    </w:p>
    <w:p w:rsidR="00157D3F" w:rsidRDefault="00864449" w:rsidP="006B5952">
      <w:pPr>
        <w:spacing w:line="300" w:lineRule="auto"/>
        <w:ind w:firstLine="420"/>
        <w:rPr>
          <w:sz w:val="22"/>
          <w:szCs w:val="22"/>
        </w:rPr>
      </w:pPr>
      <w:r>
        <w:rPr>
          <w:rFonts w:hint="eastAsia"/>
          <w:sz w:val="22"/>
          <w:szCs w:val="22"/>
        </w:rPr>
        <w:t>2014</w:t>
      </w:r>
      <w:r w:rsidR="00157D3F" w:rsidRPr="00157D3F">
        <w:rPr>
          <w:rFonts w:hint="eastAsia"/>
          <w:sz w:val="22"/>
          <w:szCs w:val="22"/>
        </w:rPr>
        <w:t>年</w:t>
      </w:r>
      <w:r w:rsidR="006833BF">
        <w:rPr>
          <w:rFonts w:hint="eastAsia"/>
          <w:sz w:val="22"/>
          <w:szCs w:val="22"/>
        </w:rPr>
        <w:t>前五个月</w:t>
      </w:r>
      <w:r w:rsidR="0001130C">
        <w:rPr>
          <w:rFonts w:hint="eastAsia"/>
          <w:sz w:val="22"/>
          <w:szCs w:val="22"/>
        </w:rPr>
        <w:t>LME</w:t>
      </w:r>
      <w:r w:rsidR="00157D3F" w:rsidRPr="00157D3F">
        <w:rPr>
          <w:rFonts w:hint="eastAsia"/>
          <w:sz w:val="22"/>
          <w:szCs w:val="22"/>
        </w:rPr>
        <w:t>锌库存</w:t>
      </w:r>
      <w:r w:rsidR="0001130C">
        <w:rPr>
          <w:rFonts w:hint="eastAsia"/>
          <w:sz w:val="22"/>
          <w:szCs w:val="22"/>
        </w:rPr>
        <w:t>整体回落</w:t>
      </w:r>
      <w:r w:rsidR="00477EA4">
        <w:rPr>
          <w:rFonts w:hint="eastAsia"/>
          <w:sz w:val="22"/>
          <w:szCs w:val="22"/>
        </w:rPr>
        <w:t>，</w:t>
      </w:r>
      <w:r w:rsidR="006833BF">
        <w:rPr>
          <w:rFonts w:hint="eastAsia"/>
          <w:sz w:val="22"/>
          <w:szCs w:val="22"/>
        </w:rPr>
        <w:t>虽然在</w:t>
      </w:r>
      <w:r w:rsidR="006833BF">
        <w:rPr>
          <w:rFonts w:hint="eastAsia"/>
          <w:sz w:val="22"/>
          <w:szCs w:val="22"/>
        </w:rPr>
        <w:t>3</w:t>
      </w:r>
      <w:r w:rsidR="006833BF">
        <w:rPr>
          <w:rFonts w:hint="eastAsia"/>
          <w:sz w:val="22"/>
          <w:szCs w:val="22"/>
        </w:rPr>
        <w:t>月出现小幅反弹，但整体</w:t>
      </w:r>
      <w:r w:rsidR="00471338">
        <w:rPr>
          <w:rFonts w:hint="eastAsia"/>
          <w:sz w:val="22"/>
          <w:szCs w:val="22"/>
        </w:rPr>
        <w:t>下滑</w:t>
      </w:r>
      <w:r w:rsidR="006833BF">
        <w:rPr>
          <w:rFonts w:hint="eastAsia"/>
          <w:sz w:val="22"/>
          <w:szCs w:val="22"/>
        </w:rPr>
        <w:t>趋势不改</w:t>
      </w:r>
      <w:r w:rsidR="00C86C90">
        <w:rPr>
          <w:rFonts w:hint="eastAsia"/>
          <w:sz w:val="22"/>
          <w:szCs w:val="22"/>
        </w:rPr>
        <w:t>。</w:t>
      </w:r>
      <w:r w:rsidR="0001130C">
        <w:rPr>
          <w:rFonts w:hint="eastAsia"/>
          <w:sz w:val="22"/>
          <w:szCs w:val="22"/>
        </w:rPr>
        <w:t>从具体数据来看，</w:t>
      </w:r>
      <w:r w:rsidR="0001130C">
        <w:rPr>
          <w:rFonts w:hint="eastAsia"/>
          <w:sz w:val="22"/>
          <w:szCs w:val="22"/>
        </w:rPr>
        <w:t>2014</w:t>
      </w:r>
      <w:r w:rsidR="0001130C">
        <w:rPr>
          <w:rFonts w:hint="eastAsia"/>
          <w:sz w:val="22"/>
          <w:szCs w:val="22"/>
        </w:rPr>
        <w:t>年初</w:t>
      </w:r>
      <w:r w:rsidR="00157D3F" w:rsidRPr="00157D3F">
        <w:rPr>
          <w:sz w:val="22"/>
          <w:szCs w:val="22"/>
        </w:rPr>
        <w:t>LME</w:t>
      </w:r>
      <w:r w:rsidR="00157D3F" w:rsidRPr="00157D3F">
        <w:rPr>
          <w:rFonts w:hint="eastAsia"/>
          <w:sz w:val="22"/>
          <w:szCs w:val="22"/>
        </w:rPr>
        <w:t>伦锌库存</w:t>
      </w:r>
      <w:r w:rsidR="0001130C">
        <w:rPr>
          <w:rFonts w:hint="eastAsia"/>
          <w:sz w:val="22"/>
          <w:szCs w:val="22"/>
        </w:rPr>
        <w:t>报</w:t>
      </w:r>
      <w:r w:rsidR="0001130C">
        <w:rPr>
          <w:rFonts w:hint="eastAsia"/>
          <w:sz w:val="22"/>
          <w:szCs w:val="22"/>
        </w:rPr>
        <w:t>93</w:t>
      </w:r>
      <w:r w:rsidR="00B97E39">
        <w:rPr>
          <w:rFonts w:hint="eastAsia"/>
          <w:sz w:val="22"/>
          <w:szCs w:val="22"/>
        </w:rPr>
        <w:t>万</w:t>
      </w:r>
      <w:r w:rsidR="00157D3F" w:rsidRPr="00157D3F">
        <w:rPr>
          <w:rFonts w:hint="eastAsia"/>
          <w:sz w:val="22"/>
          <w:szCs w:val="22"/>
        </w:rPr>
        <w:t>吨，</w:t>
      </w:r>
      <w:r w:rsidR="001C04DA">
        <w:rPr>
          <w:rFonts w:hint="eastAsia"/>
          <w:sz w:val="22"/>
          <w:szCs w:val="22"/>
        </w:rPr>
        <w:t>随后</w:t>
      </w:r>
      <w:r w:rsidR="00C31EB7">
        <w:rPr>
          <w:rFonts w:hint="eastAsia"/>
          <w:sz w:val="22"/>
          <w:szCs w:val="22"/>
        </w:rPr>
        <w:t>该</w:t>
      </w:r>
      <w:r w:rsidR="001C04DA">
        <w:rPr>
          <w:rFonts w:hint="eastAsia"/>
          <w:sz w:val="22"/>
          <w:szCs w:val="22"/>
        </w:rPr>
        <w:t>数字逐步回落至</w:t>
      </w:r>
      <w:r w:rsidR="001C04DA">
        <w:rPr>
          <w:rFonts w:hint="eastAsia"/>
          <w:sz w:val="22"/>
          <w:szCs w:val="22"/>
        </w:rPr>
        <w:t>3</w:t>
      </w:r>
      <w:r w:rsidR="001C04DA">
        <w:rPr>
          <w:rFonts w:hint="eastAsia"/>
          <w:sz w:val="22"/>
          <w:szCs w:val="22"/>
        </w:rPr>
        <w:t>月初的</w:t>
      </w:r>
      <w:r w:rsidR="001C04DA">
        <w:rPr>
          <w:rFonts w:hint="eastAsia"/>
          <w:sz w:val="22"/>
          <w:szCs w:val="22"/>
        </w:rPr>
        <w:t>75</w:t>
      </w:r>
      <w:r w:rsidR="001C04DA">
        <w:rPr>
          <w:rFonts w:hint="eastAsia"/>
          <w:sz w:val="22"/>
          <w:szCs w:val="22"/>
        </w:rPr>
        <w:t>万吨，降幅超过</w:t>
      </w:r>
      <w:r w:rsidR="001C04DA">
        <w:rPr>
          <w:rFonts w:hint="eastAsia"/>
          <w:sz w:val="22"/>
          <w:szCs w:val="22"/>
        </w:rPr>
        <w:t>19%</w:t>
      </w:r>
      <w:r w:rsidR="00157D3F" w:rsidRPr="00157D3F">
        <w:rPr>
          <w:rFonts w:hint="eastAsia"/>
          <w:sz w:val="22"/>
          <w:szCs w:val="22"/>
        </w:rPr>
        <w:t>；</w:t>
      </w:r>
      <w:r w:rsidR="001C04DA">
        <w:rPr>
          <w:rFonts w:hint="eastAsia"/>
          <w:sz w:val="22"/>
          <w:szCs w:val="22"/>
        </w:rPr>
        <w:t>整个</w:t>
      </w:r>
      <w:r w:rsidR="001C04DA">
        <w:rPr>
          <w:rFonts w:hint="eastAsia"/>
          <w:sz w:val="22"/>
          <w:szCs w:val="22"/>
        </w:rPr>
        <w:t>3</w:t>
      </w:r>
      <w:r w:rsidR="001C04DA">
        <w:rPr>
          <w:rFonts w:hint="eastAsia"/>
          <w:sz w:val="22"/>
          <w:szCs w:val="22"/>
        </w:rPr>
        <w:t>月及</w:t>
      </w:r>
      <w:r w:rsidR="001C04DA">
        <w:rPr>
          <w:rFonts w:hint="eastAsia"/>
          <w:sz w:val="22"/>
          <w:szCs w:val="22"/>
        </w:rPr>
        <w:t>4</w:t>
      </w:r>
      <w:r w:rsidR="001C04DA">
        <w:rPr>
          <w:rFonts w:hint="eastAsia"/>
          <w:sz w:val="22"/>
          <w:szCs w:val="22"/>
        </w:rPr>
        <w:t>月上旬，库存维持小幅反弹格局，最高至</w:t>
      </w:r>
      <w:r w:rsidR="001C04DA">
        <w:rPr>
          <w:rFonts w:hint="eastAsia"/>
          <w:sz w:val="22"/>
          <w:szCs w:val="22"/>
        </w:rPr>
        <w:t>83</w:t>
      </w:r>
      <w:r w:rsidR="001C04DA">
        <w:rPr>
          <w:rFonts w:hint="eastAsia"/>
          <w:sz w:val="22"/>
          <w:szCs w:val="22"/>
        </w:rPr>
        <w:t>万吨附近的水平，</w:t>
      </w:r>
      <w:r w:rsidR="00157D3F" w:rsidRPr="00157D3F">
        <w:rPr>
          <w:rFonts w:hint="eastAsia"/>
          <w:sz w:val="22"/>
          <w:szCs w:val="22"/>
        </w:rPr>
        <w:t>而</w:t>
      </w:r>
      <w:r w:rsidR="001C04DA">
        <w:rPr>
          <w:rFonts w:hint="eastAsia"/>
          <w:sz w:val="22"/>
          <w:szCs w:val="22"/>
        </w:rPr>
        <w:t>后库存再次回落，目前已经</w:t>
      </w:r>
      <w:r w:rsidR="00C31EB7">
        <w:rPr>
          <w:rFonts w:hint="eastAsia"/>
          <w:sz w:val="22"/>
          <w:szCs w:val="22"/>
        </w:rPr>
        <w:t>降</w:t>
      </w:r>
      <w:r w:rsidR="001C04DA">
        <w:rPr>
          <w:rFonts w:hint="eastAsia"/>
          <w:sz w:val="22"/>
          <w:szCs w:val="22"/>
        </w:rPr>
        <w:t>至</w:t>
      </w:r>
      <w:r w:rsidR="001C04DA">
        <w:rPr>
          <w:rFonts w:hint="eastAsia"/>
          <w:sz w:val="22"/>
          <w:szCs w:val="22"/>
        </w:rPr>
        <w:t>70</w:t>
      </w:r>
      <w:r w:rsidR="001C04DA">
        <w:rPr>
          <w:rFonts w:hint="eastAsia"/>
          <w:sz w:val="22"/>
          <w:szCs w:val="22"/>
        </w:rPr>
        <w:t>万吨左右</w:t>
      </w:r>
      <w:r w:rsidR="00157D3F" w:rsidRPr="00157D3F">
        <w:rPr>
          <w:rFonts w:hint="eastAsia"/>
          <w:sz w:val="22"/>
          <w:szCs w:val="22"/>
        </w:rPr>
        <w:t>。</w:t>
      </w:r>
      <w:r w:rsidR="001C04DA">
        <w:rPr>
          <w:rFonts w:hint="eastAsia"/>
          <w:sz w:val="22"/>
          <w:szCs w:val="22"/>
        </w:rPr>
        <w:t>值得一提的是，</w:t>
      </w:r>
      <w:r w:rsidR="00442E54">
        <w:rPr>
          <w:rFonts w:hint="eastAsia"/>
          <w:sz w:val="22"/>
          <w:szCs w:val="22"/>
        </w:rPr>
        <w:t>伦锌注销仓单占比持续下滑，</w:t>
      </w:r>
      <w:r w:rsidR="001C04DA">
        <w:rPr>
          <w:rFonts w:hint="eastAsia"/>
          <w:sz w:val="22"/>
          <w:szCs w:val="22"/>
        </w:rPr>
        <w:t>目前</w:t>
      </w:r>
      <w:r w:rsidR="00442E54">
        <w:rPr>
          <w:rFonts w:hint="eastAsia"/>
          <w:sz w:val="22"/>
          <w:szCs w:val="22"/>
        </w:rPr>
        <w:t>降至</w:t>
      </w:r>
      <w:r w:rsidR="001C04DA">
        <w:rPr>
          <w:rFonts w:hint="eastAsia"/>
          <w:sz w:val="22"/>
          <w:szCs w:val="22"/>
        </w:rPr>
        <w:t>15</w:t>
      </w:r>
      <w:r w:rsidR="00442E54">
        <w:rPr>
          <w:rFonts w:hint="eastAsia"/>
          <w:sz w:val="22"/>
          <w:szCs w:val="22"/>
        </w:rPr>
        <w:t>%</w:t>
      </w:r>
      <w:r w:rsidR="001C04DA">
        <w:rPr>
          <w:rFonts w:hint="eastAsia"/>
          <w:sz w:val="22"/>
          <w:szCs w:val="22"/>
        </w:rPr>
        <w:t>下方</w:t>
      </w:r>
      <w:r w:rsidR="00442E54" w:rsidRPr="00442E54">
        <w:rPr>
          <w:sz w:val="22"/>
          <w:szCs w:val="22"/>
        </w:rPr>
        <w:t>，</w:t>
      </w:r>
      <w:r w:rsidR="001C04DA">
        <w:rPr>
          <w:rFonts w:hint="eastAsia"/>
          <w:sz w:val="22"/>
          <w:szCs w:val="22"/>
        </w:rPr>
        <w:t>据此我们预估</w:t>
      </w:r>
      <w:r w:rsidR="002D08C6">
        <w:rPr>
          <w:rFonts w:hint="eastAsia"/>
          <w:sz w:val="22"/>
          <w:szCs w:val="22"/>
        </w:rPr>
        <w:t>后期</w:t>
      </w:r>
      <w:r w:rsidR="00442E54" w:rsidRPr="00442E54">
        <w:rPr>
          <w:sz w:val="22"/>
          <w:szCs w:val="22"/>
        </w:rPr>
        <w:t>库存</w:t>
      </w:r>
      <w:r w:rsidR="002D08C6">
        <w:rPr>
          <w:rFonts w:hint="eastAsia"/>
          <w:sz w:val="22"/>
          <w:szCs w:val="22"/>
        </w:rPr>
        <w:t>下降速度或将放缓</w:t>
      </w:r>
      <w:r w:rsidR="00442E54" w:rsidRPr="00442E54">
        <w:rPr>
          <w:sz w:val="22"/>
          <w:szCs w:val="22"/>
        </w:rPr>
        <w:t>。</w:t>
      </w:r>
      <w:r w:rsidR="00C31EB7">
        <w:rPr>
          <w:rFonts w:hint="eastAsia"/>
          <w:sz w:val="22"/>
          <w:szCs w:val="22"/>
        </w:rPr>
        <w:t>分库存来看，目前</w:t>
      </w:r>
      <w:r w:rsidR="00C31EB7">
        <w:rPr>
          <w:rFonts w:hint="eastAsia"/>
          <w:sz w:val="22"/>
          <w:szCs w:val="22"/>
        </w:rPr>
        <w:t>LME</w:t>
      </w:r>
      <w:r w:rsidR="00C31EB7">
        <w:rPr>
          <w:rFonts w:hint="eastAsia"/>
          <w:sz w:val="22"/>
          <w:szCs w:val="22"/>
        </w:rPr>
        <w:t>的库存超过</w:t>
      </w:r>
      <w:r w:rsidR="00C31EB7">
        <w:rPr>
          <w:rFonts w:hint="eastAsia"/>
          <w:sz w:val="22"/>
          <w:szCs w:val="22"/>
        </w:rPr>
        <w:t>2/3</w:t>
      </w:r>
      <w:r w:rsidR="00C31EB7">
        <w:rPr>
          <w:rFonts w:hint="eastAsia"/>
          <w:sz w:val="22"/>
          <w:szCs w:val="22"/>
        </w:rPr>
        <w:t>储存于新奥尔良仓库，这使得仓单的可操纵性大大增强。据了解，国外大型集团控制库存集中度的目的就是为了操纵现货市场溢价水平，一旦时机来临，仓单集中转移将再次出现。</w:t>
      </w:r>
    </w:p>
    <w:p w:rsidR="00C74723" w:rsidRPr="0042161F" w:rsidRDefault="00C74723" w:rsidP="00C74723">
      <w:pPr>
        <w:pStyle w:val="a8"/>
        <w:keepNext/>
      </w:pPr>
      <w:r>
        <w:rPr>
          <w:rFonts w:hint="eastAsia"/>
        </w:rPr>
        <w:t>图表</w:t>
      </w:r>
      <w:r>
        <w:rPr>
          <w:rFonts w:hint="eastAsia"/>
        </w:rPr>
        <w:t xml:space="preserve"> 5 </w:t>
      </w:r>
      <w:r>
        <w:rPr>
          <w:rFonts w:hint="eastAsia"/>
        </w:rPr>
        <w:t>锌库存与</w:t>
      </w:r>
      <w:r>
        <w:rPr>
          <w:rFonts w:hint="eastAsia"/>
        </w:rPr>
        <w:t>LME</w:t>
      </w:r>
      <w:r>
        <w:rPr>
          <w:rFonts w:hint="eastAsia"/>
        </w:rPr>
        <w:t>锌期价走势</w:t>
      </w:r>
      <w:r>
        <w:rPr>
          <w:rFonts w:hint="eastAsia"/>
        </w:rPr>
        <w:t xml:space="preserve">                     </w:t>
      </w:r>
      <w:r>
        <w:rPr>
          <w:rFonts w:hint="eastAsia"/>
        </w:rPr>
        <w:t>图表</w:t>
      </w:r>
      <w:r>
        <w:rPr>
          <w:rFonts w:hint="eastAsia"/>
        </w:rPr>
        <w:t xml:space="preserve"> 6  LME</w:t>
      </w:r>
      <w:r>
        <w:rPr>
          <w:rFonts w:hint="eastAsia"/>
        </w:rPr>
        <w:t>锌库存与注销仓单占比</w:t>
      </w:r>
    </w:p>
    <w:tbl>
      <w:tblPr>
        <w:tblW w:w="11247" w:type="dxa"/>
        <w:jc w:val="center"/>
        <w:tblInd w:w="1061" w:type="dxa"/>
        <w:tblBorders>
          <w:top w:val="single" w:sz="12" w:space="0" w:color="C0504D"/>
          <w:bottom w:val="single" w:sz="12" w:space="0" w:color="C0504D"/>
          <w:insideH w:val="single" w:sz="4" w:space="0" w:color="auto"/>
        </w:tblBorders>
        <w:tblLayout w:type="fixed"/>
        <w:tblLook w:val="04A0"/>
      </w:tblPr>
      <w:tblGrid>
        <w:gridCol w:w="5528"/>
        <w:gridCol w:w="5719"/>
      </w:tblGrid>
      <w:tr w:rsidR="00C74723" w:rsidTr="00A13D2B">
        <w:trPr>
          <w:trHeight w:val="3969"/>
          <w:jc w:val="center"/>
        </w:trPr>
        <w:tc>
          <w:tcPr>
            <w:tcW w:w="5528" w:type="dxa"/>
          </w:tcPr>
          <w:p w:rsidR="00C74723" w:rsidRPr="009344A3" w:rsidRDefault="00C74723" w:rsidP="00A13D2B">
            <w:pPr>
              <w:tabs>
                <w:tab w:val="left" w:pos="1493"/>
              </w:tabs>
              <w:ind w:leftChars="-238" w:left="-500" w:rightChars="-74" w:right="-155" w:firstLineChars="6" w:firstLine="14"/>
              <w:jc w:val="right"/>
              <w:rPr>
                <w:rFonts w:ascii="宋体" w:cs="宋体"/>
                <w:color w:val="002C57"/>
                <w:kern w:val="0"/>
                <w:sz w:val="24"/>
                <w:lang w:val="zh-CN"/>
              </w:rPr>
            </w:pPr>
            <w:r w:rsidRPr="002F09A4">
              <w:rPr>
                <w:rFonts w:ascii="宋体" w:cs="宋体"/>
                <w:noProof/>
                <w:color w:val="002C57"/>
                <w:kern w:val="0"/>
                <w:sz w:val="24"/>
              </w:rPr>
              <w:drawing>
                <wp:inline distT="0" distB="0" distL="0" distR="0">
                  <wp:extent cx="3657600" cy="2523744"/>
                  <wp:effectExtent l="0" t="0" r="0" b="0"/>
                  <wp:docPr id="29"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719" w:type="dxa"/>
          </w:tcPr>
          <w:p w:rsidR="00C74723" w:rsidRPr="009344A3" w:rsidRDefault="00C74723" w:rsidP="00A13D2B">
            <w:pPr>
              <w:tabs>
                <w:tab w:val="left" w:pos="0"/>
              </w:tabs>
              <w:ind w:leftChars="-82" w:left="-172" w:rightChars="-90" w:right="-189"/>
              <w:jc w:val="center"/>
              <w:rPr>
                <w:rFonts w:ascii="宋体" w:cs="宋体"/>
                <w:color w:val="002C57"/>
                <w:kern w:val="0"/>
                <w:sz w:val="24"/>
                <w:lang w:val="zh-CN"/>
              </w:rPr>
            </w:pPr>
            <w:r w:rsidRPr="003F0794">
              <w:rPr>
                <w:rFonts w:ascii="宋体" w:cs="宋体"/>
                <w:noProof/>
                <w:color w:val="002C57"/>
                <w:kern w:val="0"/>
                <w:sz w:val="24"/>
              </w:rPr>
              <w:drawing>
                <wp:inline distT="0" distB="0" distL="0" distR="0">
                  <wp:extent cx="3419475" cy="2524125"/>
                  <wp:effectExtent l="0" t="0" r="0" b="0"/>
                  <wp:docPr id="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C74723" w:rsidRDefault="00C74723" w:rsidP="00FA2D99">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Pr>
          <w:rFonts w:hAnsi="宋体" w:hint="eastAsia"/>
          <w:bCs/>
          <w:color w:val="993300"/>
          <w:sz w:val="18"/>
          <w:szCs w:val="18"/>
        </w:rPr>
        <w:t>Bloomberg</w:t>
      </w:r>
      <w:r>
        <w:rPr>
          <w:rFonts w:hAnsi="宋体" w:hint="eastAsia"/>
          <w:bCs/>
          <w:color w:val="993300"/>
          <w:sz w:val="18"/>
          <w:szCs w:val="18"/>
        </w:rPr>
        <w:t>，</w:t>
      </w:r>
      <w:r w:rsidRPr="004E44A4">
        <w:rPr>
          <w:rFonts w:hAnsi="宋体" w:hint="eastAsia"/>
          <w:bCs/>
          <w:color w:val="993300"/>
          <w:sz w:val="18"/>
          <w:szCs w:val="18"/>
        </w:rPr>
        <w:t>金源期货</w:t>
      </w:r>
    </w:p>
    <w:p w:rsidR="00C31EB7" w:rsidRPr="00513210" w:rsidRDefault="00C31EB7" w:rsidP="00513210">
      <w:pPr>
        <w:spacing w:line="300" w:lineRule="auto"/>
        <w:ind w:firstLine="420"/>
        <w:rPr>
          <w:sz w:val="22"/>
          <w:szCs w:val="22"/>
        </w:rPr>
      </w:pPr>
      <w:r w:rsidRPr="00513210">
        <w:rPr>
          <w:rFonts w:hint="eastAsia"/>
          <w:sz w:val="22"/>
          <w:szCs w:val="22"/>
        </w:rPr>
        <w:t>国内方面，</w:t>
      </w:r>
      <w:r w:rsidR="00513210" w:rsidRPr="00513210">
        <w:rPr>
          <w:rFonts w:hint="eastAsia"/>
          <w:sz w:val="22"/>
          <w:szCs w:val="22"/>
        </w:rPr>
        <w:t>上海锌库存波动与</w:t>
      </w:r>
      <w:r w:rsidR="00513210" w:rsidRPr="00513210">
        <w:rPr>
          <w:rFonts w:hint="eastAsia"/>
          <w:sz w:val="22"/>
          <w:szCs w:val="22"/>
        </w:rPr>
        <w:t>LME</w:t>
      </w:r>
      <w:r w:rsidR="00513210" w:rsidRPr="00513210">
        <w:rPr>
          <w:rFonts w:hint="eastAsia"/>
          <w:sz w:val="22"/>
          <w:szCs w:val="22"/>
        </w:rPr>
        <w:t>趋同，</w:t>
      </w:r>
      <w:r w:rsidR="00732A02">
        <w:rPr>
          <w:rFonts w:hint="eastAsia"/>
          <w:sz w:val="22"/>
          <w:szCs w:val="22"/>
        </w:rPr>
        <w:t>整体呈</w:t>
      </w:r>
      <w:r w:rsidR="008A0087">
        <w:rPr>
          <w:rFonts w:hint="eastAsia"/>
          <w:sz w:val="22"/>
          <w:szCs w:val="22"/>
        </w:rPr>
        <w:t>先扬后抑</w:t>
      </w:r>
      <w:r w:rsidR="00732A02">
        <w:rPr>
          <w:rFonts w:hint="eastAsia"/>
          <w:sz w:val="22"/>
          <w:szCs w:val="22"/>
        </w:rPr>
        <w:t>格局</w:t>
      </w:r>
      <w:r w:rsidR="008A0087">
        <w:rPr>
          <w:rFonts w:hint="eastAsia"/>
          <w:sz w:val="22"/>
          <w:szCs w:val="22"/>
        </w:rPr>
        <w:t>，</w:t>
      </w:r>
      <w:r w:rsidR="002735FB">
        <w:rPr>
          <w:rFonts w:hint="eastAsia"/>
          <w:sz w:val="22"/>
          <w:szCs w:val="22"/>
        </w:rPr>
        <w:t>先</w:t>
      </w:r>
      <w:r w:rsidR="008A0087">
        <w:rPr>
          <w:rFonts w:hint="eastAsia"/>
          <w:sz w:val="22"/>
          <w:szCs w:val="22"/>
        </w:rPr>
        <w:t>由年初</w:t>
      </w:r>
      <w:r w:rsidR="008A0087">
        <w:rPr>
          <w:rFonts w:hint="eastAsia"/>
          <w:sz w:val="22"/>
          <w:szCs w:val="22"/>
        </w:rPr>
        <w:t>24</w:t>
      </w:r>
      <w:r w:rsidR="008A0087">
        <w:rPr>
          <w:rFonts w:hint="eastAsia"/>
          <w:sz w:val="22"/>
          <w:szCs w:val="22"/>
        </w:rPr>
        <w:t>万吨升至</w:t>
      </w:r>
      <w:r w:rsidR="008A0087">
        <w:rPr>
          <w:rFonts w:hint="eastAsia"/>
          <w:sz w:val="22"/>
          <w:szCs w:val="22"/>
        </w:rPr>
        <w:t>3</w:t>
      </w:r>
      <w:r w:rsidR="008A0087">
        <w:rPr>
          <w:rFonts w:hint="eastAsia"/>
          <w:sz w:val="22"/>
          <w:szCs w:val="22"/>
        </w:rPr>
        <w:t>月中旬的</w:t>
      </w:r>
      <w:r w:rsidR="008A0087">
        <w:rPr>
          <w:rFonts w:hint="eastAsia"/>
          <w:sz w:val="22"/>
          <w:szCs w:val="22"/>
        </w:rPr>
        <w:t>27.4</w:t>
      </w:r>
      <w:r w:rsidR="008A0087">
        <w:rPr>
          <w:rFonts w:hint="eastAsia"/>
          <w:sz w:val="22"/>
          <w:szCs w:val="22"/>
        </w:rPr>
        <w:t>万吨，随后又逐步降至</w:t>
      </w:r>
      <w:r w:rsidR="008A0087">
        <w:rPr>
          <w:rFonts w:hint="eastAsia"/>
          <w:sz w:val="22"/>
          <w:szCs w:val="22"/>
        </w:rPr>
        <w:t>22</w:t>
      </w:r>
      <w:r w:rsidR="008A0087">
        <w:rPr>
          <w:rFonts w:hint="eastAsia"/>
          <w:sz w:val="22"/>
          <w:szCs w:val="22"/>
        </w:rPr>
        <w:t>万吨上下，较往年同期处于较低的水平。</w:t>
      </w:r>
    </w:p>
    <w:p w:rsidR="00AA7391" w:rsidRDefault="0042161F" w:rsidP="00277BFD">
      <w:pPr>
        <w:pStyle w:val="3"/>
        <w:numPr>
          <w:ilvl w:val="0"/>
          <w:numId w:val="24"/>
        </w:numPr>
        <w:spacing w:line="360" w:lineRule="auto"/>
        <w:rPr>
          <w:rFonts w:ascii="宋体" w:hAnsi="宋体"/>
          <w:color w:val="993300"/>
          <w:sz w:val="21"/>
          <w:szCs w:val="21"/>
        </w:rPr>
      </w:pPr>
      <w:bookmarkStart w:id="149" w:name="_Toc389830953"/>
      <w:r>
        <w:rPr>
          <w:rFonts w:ascii="宋体" w:hAnsi="宋体" w:hint="eastAsia"/>
          <w:color w:val="993300"/>
          <w:sz w:val="21"/>
          <w:szCs w:val="21"/>
        </w:rPr>
        <w:t>国内</w:t>
      </w:r>
      <w:r w:rsidR="00C85ABF">
        <w:rPr>
          <w:rFonts w:ascii="宋体" w:hAnsi="宋体" w:hint="eastAsia"/>
          <w:color w:val="993300"/>
          <w:sz w:val="21"/>
          <w:szCs w:val="21"/>
        </w:rPr>
        <w:t>市场供应情况</w:t>
      </w:r>
      <w:bookmarkEnd w:id="149"/>
    </w:p>
    <w:p w:rsidR="00FF0106" w:rsidRDefault="00427FEE" w:rsidP="00AA7391">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据国家统计局公布的有色金属产量数据，2014年1-4月，国内锌精矿产量为153.59</w:t>
      </w:r>
      <w:r>
        <w:rPr>
          <w:rFonts w:asciiTheme="minorEastAsia" w:eastAsiaTheme="minorEastAsia" w:hAnsiTheme="minorEastAsia" w:cs="宋体" w:hint="eastAsia"/>
          <w:color w:val="000000"/>
          <w:kern w:val="0"/>
          <w:sz w:val="22"/>
          <w:szCs w:val="22"/>
        </w:rPr>
        <w:lastRenderedPageBreak/>
        <w:t>万吨，同比减少4.2%</w:t>
      </w:r>
      <w:r w:rsidR="00D34094" w:rsidRPr="00C4413D">
        <w:rPr>
          <w:rFonts w:asciiTheme="minorEastAsia" w:eastAsiaTheme="minorEastAsia" w:hAnsiTheme="minorEastAsia" w:cs="宋体" w:hint="eastAsia"/>
          <w:color w:val="000000"/>
          <w:kern w:val="0"/>
          <w:sz w:val="22"/>
          <w:szCs w:val="22"/>
        </w:rPr>
        <w:t>。</w:t>
      </w:r>
      <w:r w:rsidR="00555A4D">
        <w:rPr>
          <w:rFonts w:asciiTheme="minorEastAsia" w:eastAsiaTheme="minorEastAsia" w:hAnsiTheme="minorEastAsia" w:cs="宋体" w:hint="eastAsia"/>
          <w:color w:val="000000"/>
          <w:kern w:val="0"/>
          <w:sz w:val="22"/>
          <w:szCs w:val="22"/>
        </w:rPr>
        <w:t>产量下降主要受季节性影响，北方地区寒冷假期较长，企业开工率较低</w:t>
      </w:r>
      <w:r w:rsidR="00045EC1">
        <w:rPr>
          <w:rFonts w:asciiTheme="minorEastAsia" w:eastAsiaTheme="minorEastAsia" w:hAnsiTheme="minorEastAsia" w:cs="宋体" w:hint="eastAsia"/>
          <w:color w:val="000000"/>
          <w:kern w:val="0"/>
          <w:sz w:val="22"/>
          <w:szCs w:val="22"/>
        </w:rPr>
        <w:t>，加之今年前几月锌价波动较大，采矿利润空间有限等因素共同影响。</w:t>
      </w:r>
    </w:p>
    <w:p w:rsidR="00545ED8" w:rsidRDefault="00545ED8" w:rsidP="00AA7391">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加工费方面，据安泰科调研，3月份国内主流锌加工费在5100-5335元/吨，进口锌精矿加工费在130-135美元/吨之间。</w:t>
      </w:r>
    </w:p>
    <w:p w:rsidR="00AA7391" w:rsidRDefault="00280715" w:rsidP="00AF043D">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由于锌精矿产量小幅下滑，精炼锌产量亦呈小幅下降态势。</w:t>
      </w:r>
      <w:r w:rsidR="00AA7391" w:rsidRPr="00844245">
        <w:rPr>
          <w:rFonts w:asciiTheme="minorEastAsia" w:eastAsiaTheme="minorEastAsia" w:hAnsiTheme="minorEastAsia" w:cs="宋体" w:hint="eastAsia"/>
          <w:color w:val="000000"/>
          <w:kern w:val="0"/>
          <w:sz w:val="22"/>
          <w:szCs w:val="22"/>
        </w:rPr>
        <w:t>据</w:t>
      </w:r>
      <w:r w:rsidR="002E5F78">
        <w:rPr>
          <w:rFonts w:asciiTheme="minorEastAsia" w:eastAsiaTheme="minorEastAsia" w:hAnsiTheme="minorEastAsia" w:cs="宋体" w:hint="eastAsia"/>
          <w:color w:val="000000"/>
          <w:kern w:val="0"/>
          <w:sz w:val="22"/>
          <w:szCs w:val="22"/>
        </w:rPr>
        <w:t>中国有色金属工业协会最新公布数据</w:t>
      </w:r>
      <w:r w:rsidR="00AA7391" w:rsidRPr="00844245">
        <w:rPr>
          <w:rFonts w:asciiTheme="minorEastAsia" w:eastAsiaTheme="minorEastAsia" w:hAnsiTheme="minorEastAsia" w:cs="宋体" w:hint="eastAsia"/>
          <w:color w:val="000000"/>
          <w:kern w:val="0"/>
          <w:sz w:val="22"/>
          <w:szCs w:val="22"/>
        </w:rPr>
        <w:t>，</w:t>
      </w:r>
      <w:r w:rsidR="002E5F78">
        <w:rPr>
          <w:rFonts w:asciiTheme="minorEastAsia" w:eastAsiaTheme="minorEastAsia" w:hAnsiTheme="minorEastAsia" w:cs="宋体" w:hint="eastAsia"/>
          <w:color w:val="000000"/>
          <w:kern w:val="0"/>
          <w:sz w:val="22"/>
          <w:szCs w:val="22"/>
        </w:rPr>
        <w:t>2014年1-4</w:t>
      </w:r>
      <w:r w:rsidR="00AA7391" w:rsidRPr="00C4413D">
        <w:rPr>
          <w:rFonts w:asciiTheme="minorEastAsia" w:eastAsiaTheme="minorEastAsia" w:hAnsiTheme="minorEastAsia" w:cs="宋体" w:hint="eastAsia"/>
          <w:color w:val="000000"/>
          <w:kern w:val="0"/>
          <w:sz w:val="22"/>
          <w:szCs w:val="22"/>
        </w:rPr>
        <w:t>月我国生产</w:t>
      </w:r>
      <w:r>
        <w:rPr>
          <w:rFonts w:asciiTheme="minorEastAsia" w:eastAsiaTheme="minorEastAsia" w:hAnsiTheme="minorEastAsia" w:cs="宋体" w:hint="eastAsia"/>
          <w:color w:val="000000"/>
          <w:kern w:val="0"/>
          <w:sz w:val="22"/>
          <w:szCs w:val="22"/>
        </w:rPr>
        <w:t>精炼锌</w:t>
      </w:r>
      <w:r w:rsidR="002E5F78">
        <w:rPr>
          <w:rFonts w:asciiTheme="minorEastAsia" w:eastAsiaTheme="minorEastAsia" w:hAnsiTheme="minorEastAsia" w:cs="宋体" w:hint="eastAsia"/>
          <w:color w:val="000000"/>
          <w:kern w:val="0"/>
          <w:sz w:val="22"/>
          <w:szCs w:val="22"/>
        </w:rPr>
        <w:t>171.3</w:t>
      </w:r>
      <w:r w:rsidR="00AA7391" w:rsidRPr="00C4413D">
        <w:rPr>
          <w:rFonts w:asciiTheme="minorEastAsia" w:eastAsiaTheme="minorEastAsia" w:hAnsiTheme="minorEastAsia" w:cs="宋体" w:hint="eastAsia"/>
          <w:color w:val="000000"/>
          <w:kern w:val="0"/>
          <w:sz w:val="22"/>
          <w:szCs w:val="22"/>
        </w:rPr>
        <w:t>万吨，</w:t>
      </w:r>
      <w:r w:rsidR="002E5F78" w:rsidRPr="00C4413D">
        <w:rPr>
          <w:rFonts w:asciiTheme="minorEastAsia" w:eastAsiaTheme="minorEastAsia" w:hAnsiTheme="minorEastAsia" w:cs="宋体" w:hint="eastAsia"/>
          <w:color w:val="000000"/>
          <w:kern w:val="0"/>
          <w:sz w:val="22"/>
          <w:szCs w:val="22"/>
        </w:rPr>
        <w:t>同比</w:t>
      </w:r>
      <w:r>
        <w:rPr>
          <w:rFonts w:asciiTheme="minorEastAsia" w:eastAsiaTheme="minorEastAsia" w:hAnsiTheme="minorEastAsia" w:cs="宋体" w:hint="eastAsia"/>
          <w:color w:val="000000"/>
          <w:kern w:val="0"/>
          <w:sz w:val="22"/>
          <w:szCs w:val="22"/>
        </w:rPr>
        <w:t>下降</w:t>
      </w:r>
      <w:r w:rsidR="002E5F78">
        <w:rPr>
          <w:rFonts w:asciiTheme="minorEastAsia" w:eastAsiaTheme="minorEastAsia" w:hAnsiTheme="minorEastAsia" w:cs="宋体" w:hint="eastAsia"/>
          <w:color w:val="000000"/>
          <w:kern w:val="0"/>
          <w:sz w:val="22"/>
          <w:szCs w:val="22"/>
        </w:rPr>
        <w:t>0.57</w:t>
      </w:r>
      <w:r w:rsidR="00AA7391" w:rsidRPr="00C4413D">
        <w:rPr>
          <w:rFonts w:asciiTheme="minorEastAsia" w:eastAsiaTheme="minorEastAsia" w:hAnsiTheme="minorEastAsia" w:cs="宋体"/>
          <w:color w:val="000000"/>
          <w:kern w:val="0"/>
          <w:sz w:val="22"/>
          <w:szCs w:val="22"/>
        </w:rPr>
        <w:t>%</w:t>
      </w:r>
      <w:r w:rsidR="00AA7391" w:rsidRPr="00C4413D">
        <w:rPr>
          <w:rFonts w:asciiTheme="minorEastAsia" w:eastAsiaTheme="minorEastAsia" w:hAnsiTheme="minorEastAsia" w:cs="宋体" w:hint="eastAsia"/>
          <w:color w:val="000000"/>
          <w:kern w:val="0"/>
          <w:sz w:val="22"/>
          <w:szCs w:val="22"/>
        </w:rPr>
        <w:t>。</w:t>
      </w:r>
      <w:r w:rsidR="002E5F78">
        <w:rPr>
          <w:rFonts w:asciiTheme="minorEastAsia" w:eastAsiaTheme="minorEastAsia" w:hAnsiTheme="minorEastAsia" w:cs="宋体" w:hint="eastAsia"/>
          <w:color w:val="000000"/>
          <w:kern w:val="0"/>
          <w:sz w:val="22"/>
          <w:szCs w:val="22"/>
        </w:rPr>
        <w:t>3月份锌价大幅下跌令不少大中型锌冶炼企业选择提前停产检修，3月份现货市场中锌锭供应偏紧，部分品牌货源稀少，锌锭交易活跃度不高。但随着近期锌价逐渐企稳回升这一状况将有望改善。</w:t>
      </w:r>
    </w:p>
    <w:p w:rsidR="00C74723" w:rsidRPr="00AB7E4C" w:rsidRDefault="00C74723" w:rsidP="00C74723">
      <w:pPr>
        <w:pStyle w:val="a8"/>
        <w:keepNext/>
      </w:pPr>
      <w:r>
        <w:rPr>
          <w:rFonts w:hint="eastAsia"/>
        </w:rPr>
        <w:t>图表</w:t>
      </w:r>
      <w:r>
        <w:rPr>
          <w:rFonts w:hint="eastAsia"/>
        </w:rPr>
        <w:t xml:space="preserve"> 7 </w:t>
      </w:r>
      <w:r>
        <w:rPr>
          <w:rFonts w:hint="eastAsia"/>
        </w:rPr>
        <w:t>精炼锌产量数据</w:t>
      </w:r>
      <w:r>
        <w:rPr>
          <w:rFonts w:hint="eastAsia"/>
        </w:rPr>
        <w:t xml:space="preserve">                                    </w:t>
      </w:r>
      <w:r>
        <w:rPr>
          <w:rFonts w:hint="eastAsia"/>
        </w:rPr>
        <w:t>图表</w:t>
      </w:r>
      <w:r>
        <w:rPr>
          <w:rFonts w:hint="eastAsia"/>
        </w:rPr>
        <w:t xml:space="preserve"> 8 </w:t>
      </w:r>
      <w:r>
        <w:rPr>
          <w:rFonts w:hint="eastAsia"/>
        </w:rPr>
        <w:t>锌精矿产量数据</w:t>
      </w:r>
    </w:p>
    <w:tbl>
      <w:tblPr>
        <w:tblW w:w="11279" w:type="dxa"/>
        <w:jc w:val="center"/>
        <w:tblInd w:w="1061" w:type="dxa"/>
        <w:tblBorders>
          <w:top w:val="single" w:sz="12" w:space="0" w:color="C0504D"/>
          <w:bottom w:val="single" w:sz="12" w:space="0" w:color="C0504D"/>
          <w:insideH w:val="single" w:sz="4" w:space="0" w:color="auto"/>
        </w:tblBorders>
        <w:tblLook w:val="04A0"/>
      </w:tblPr>
      <w:tblGrid>
        <w:gridCol w:w="5672"/>
        <w:gridCol w:w="5607"/>
      </w:tblGrid>
      <w:tr w:rsidR="00C74723" w:rsidTr="005B7449">
        <w:trPr>
          <w:trHeight w:val="3969"/>
          <w:jc w:val="center"/>
        </w:trPr>
        <w:tc>
          <w:tcPr>
            <w:tcW w:w="5672" w:type="dxa"/>
          </w:tcPr>
          <w:p w:rsidR="00C74723" w:rsidRPr="009344A3" w:rsidRDefault="00E90F7F" w:rsidP="00E90F7F">
            <w:pPr>
              <w:tabs>
                <w:tab w:val="left" w:pos="1493"/>
              </w:tabs>
              <w:ind w:leftChars="-238" w:left="-500" w:rightChars="90" w:right="189" w:firstLineChars="153" w:firstLine="367"/>
              <w:jc w:val="right"/>
              <w:rPr>
                <w:rFonts w:ascii="宋体" w:cs="宋体"/>
                <w:color w:val="002C57"/>
                <w:kern w:val="0"/>
                <w:sz w:val="24"/>
                <w:lang w:val="zh-CN"/>
              </w:rPr>
            </w:pPr>
            <w:r w:rsidRPr="00E90F7F">
              <w:rPr>
                <w:rFonts w:ascii="宋体" w:cs="宋体"/>
                <w:noProof/>
                <w:color w:val="002C57"/>
                <w:kern w:val="0"/>
                <w:sz w:val="24"/>
              </w:rPr>
              <w:drawing>
                <wp:inline distT="0" distB="0" distL="0" distR="0">
                  <wp:extent cx="3606393" cy="2567635"/>
                  <wp:effectExtent l="0" t="0" r="0" b="0"/>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607" w:type="dxa"/>
          </w:tcPr>
          <w:p w:rsidR="00C74723" w:rsidRPr="009344A3" w:rsidRDefault="00E90F7F" w:rsidP="005B7449">
            <w:pPr>
              <w:ind w:leftChars="-82" w:left="-172" w:rightChars="-90" w:right="-189"/>
              <w:jc w:val="center"/>
              <w:rPr>
                <w:rFonts w:ascii="宋体" w:cs="宋体"/>
                <w:color w:val="002C57"/>
                <w:kern w:val="0"/>
                <w:sz w:val="24"/>
                <w:lang w:val="zh-CN"/>
              </w:rPr>
            </w:pPr>
            <w:r w:rsidRPr="00E90F7F">
              <w:rPr>
                <w:rFonts w:ascii="宋体" w:cs="宋体"/>
                <w:noProof/>
                <w:color w:val="002C57"/>
                <w:kern w:val="0"/>
                <w:sz w:val="24"/>
              </w:rPr>
              <w:drawing>
                <wp:inline distT="0" distB="0" distL="0" distR="0">
                  <wp:extent cx="3591764" cy="2516429"/>
                  <wp:effectExtent l="0" t="0" r="0" b="0"/>
                  <wp:docPr id="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C74723" w:rsidRPr="002268AB" w:rsidRDefault="00C74723" w:rsidP="00C74723">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sidR="00DB3417">
        <w:rPr>
          <w:rFonts w:hAnsi="宋体" w:hint="eastAsia"/>
          <w:bCs/>
          <w:color w:val="993300"/>
          <w:sz w:val="18"/>
          <w:szCs w:val="18"/>
        </w:rPr>
        <w:t>Wind</w:t>
      </w:r>
      <w:r>
        <w:rPr>
          <w:rFonts w:hAnsi="宋体" w:hint="eastAsia"/>
          <w:bCs/>
          <w:color w:val="993300"/>
          <w:sz w:val="18"/>
          <w:szCs w:val="18"/>
        </w:rPr>
        <w:t>，</w:t>
      </w:r>
      <w:r w:rsidRPr="004E44A4">
        <w:rPr>
          <w:rFonts w:hAnsi="宋体" w:hint="eastAsia"/>
          <w:bCs/>
          <w:color w:val="993300"/>
          <w:sz w:val="18"/>
          <w:szCs w:val="18"/>
        </w:rPr>
        <w:t>金源期货</w:t>
      </w:r>
    </w:p>
    <w:p w:rsidR="00C4413D" w:rsidRPr="001C2D24" w:rsidRDefault="00B66E72" w:rsidP="001C2D24">
      <w:pPr>
        <w:spacing w:line="300" w:lineRule="auto"/>
        <w:ind w:firstLineChars="200" w:firstLine="440"/>
        <w:rPr>
          <w:rFonts w:asciiTheme="minorEastAsia" w:eastAsiaTheme="minorEastAsia" w:hAnsiTheme="minorEastAsia" w:cs="宋体"/>
          <w:color w:val="000000"/>
          <w:kern w:val="0"/>
          <w:sz w:val="22"/>
          <w:szCs w:val="22"/>
        </w:rPr>
      </w:pPr>
      <w:r w:rsidRPr="001C2D24">
        <w:rPr>
          <w:rFonts w:asciiTheme="minorEastAsia" w:eastAsiaTheme="minorEastAsia" w:hAnsiTheme="minorEastAsia" w:cs="宋体" w:hint="eastAsia"/>
          <w:color w:val="000000"/>
          <w:kern w:val="0"/>
          <w:sz w:val="22"/>
          <w:szCs w:val="22"/>
        </w:rPr>
        <w:t>进口方面，</w:t>
      </w:r>
      <w:r w:rsidR="00593B7D">
        <w:rPr>
          <w:rFonts w:asciiTheme="minorEastAsia" w:eastAsiaTheme="minorEastAsia" w:hAnsiTheme="minorEastAsia" w:cs="宋体" w:hint="eastAsia"/>
          <w:color w:val="000000"/>
          <w:kern w:val="0"/>
          <w:sz w:val="22"/>
          <w:szCs w:val="22"/>
        </w:rPr>
        <w:t>据国家统计局最新数据显示，</w:t>
      </w:r>
      <w:r w:rsidRPr="001C2D24">
        <w:rPr>
          <w:rFonts w:asciiTheme="minorEastAsia" w:eastAsiaTheme="minorEastAsia" w:hAnsiTheme="minorEastAsia" w:cs="宋体"/>
          <w:color w:val="000000"/>
          <w:kern w:val="0"/>
          <w:sz w:val="22"/>
          <w:szCs w:val="22"/>
        </w:rPr>
        <w:t>201</w:t>
      </w:r>
      <w:r w:rsidR="00BB3AF1">
        <w:rPr>
          <w:rFonts w:asciiTheme="minorEastAsia" w:eastAsiaTheme="minorEastAsia" w:hAnsiTheme="minorEastAsia" w:cs="宋体" w:hint="eastAsia"/>
          <w:color w:val="000000"/>
          <w:kern w:val="0"/>
          <w:sz w:val="22"/>
          <w:szCs w:val="22"/>
        </w:rPr>
        <w:t>4</w:t>
      </w:r>
      <w:r w:rsidRPr="001C2D24">
        <w:rPr>
          <w:rFonts w:asciiTheme="minorEastAsia" w:eastAsiaTheme="minorEastAsia" w:hAnsiTheme="minorEastAsia" w:cs="宋体" w:hint="eastAsia"/>
          <w:color w:val="000000"/>
          <w:kern w:val="0"/>
          <w:sz w:val="22"/>
          <w:szCs w:val="22"/>
        </w:rPr>
        <w:t>年</w:t>
      </w:r>
      <w:r w:rsidR="00BB3AF1">
        <w:rPr>
          <w:rFonts w:asciiTheme="minorEastAsia" w:eastAsiaTheme="minorEastAsia" w:hAnsiTheme="minorEastAsia" w:cs="宋体" w:hint="eastAsia"/>
          <w:color w:val="000000"/>
          <w:kern w:val="0"/>
          <w:sz w:val="22"/>
          <w:szCs w:val="22"/>
        </w:rPr>
        <w:t>1-4月我</w:t>
      </w:r>
      <w:r w:rsidRPr="001C2D24">
        <w:rPr>
          <w:rFonts w:asciiTheme="minorEastAsia" w:eastAsiaTheme="minorEastAsia" w:hAnsiTheme="minorEastAsia" w:cs="宋体" w:hint="eastAsia"/>
          <w:color w:val="000000"/>
          <w:kern w:val="0"/>
          <w:sz w:val="22"/>
          <w:szCs w:val="22"/>
        </w:rPr>
        <w:t>国</w:t>
      </w:r>
      <w:r w:rsidR="00BB3AF1">
        <w:rPr>
          <w:rFonts w:asciiTheme="minorEastAsia" w:eastAsiaTheme="minorEastAsia" w:hAnsiTheme="minorEastAsia" w:cs="宋体" w:hint="eastAsia"/>
          <w:color w:val="000000"/>
          <w:kern w:val="0"/>
          <w:sz w:val="22"/>
          <w:szCs w:val="22"/>
        </w:rPr>
        <w:t>累计</w:t>
      </w:r>
      <w:r w:rsidR="00593B7D">
        <w:rPr>
          <w:rFonts w:asciiTheme="minorEastAsia" w:eastAsiaTheme="minorEastAsia" w:hAnsiTheme="minorEastAsia" w:cs="宋体" w:hint="eastAsia"/>
          <w:color w:val="000000"/>
          <w:kern w:val="0"/>
          <w:sz w:val="22"/>
          <w:szCs w:val="22"/>
        </w:rPr>
        <w:t>进口锌精矿</w:t>
      </w:r>
      <w:r w:rsidR="00BB3AF1">
        <w:rPr>
          <w:rFonts w:asciiTheme="minorEastAsia" w:eastAsiaTheme="minorEastAsia" w:hAnsiTheme="minorEastAsia" w:cs="宋体" w:hint="eastAsia"/>
          <w:color w:val="000000"/>
          <w:kern w:val="0"/>
          <w:sz w:val="22"/>
          <w:szCs w:val="22"/>
        </w:rPr>
        <w:t>67.56</w:t>
      </w:r>
      <w:r w:rsidR="00670E97" w:rsidRPr="001C2D24">
        <w:rPr>
          <w:rFonts w:asciiTheme="minorEastAsia" w:eastAsiaTheme="minorEastAsia" w:hAnsiTheme="minorEastAsia" w:cs="宋体" w:hint="eastAsia"/>
          <w:color w:val="000000"/>
          <w:kern w:val="0"/>
          <w:sz w:val="22"/>
          <w:szCs w:val="22"/>
        </w:rPr>
        <w:t>万吨，201</w:t>
      </w:r>
      <w:r w:rsidR="00BB3AF1">
        <w:rPr>
          <w:rFonts w:asciiTheme="minorEastAsia" w:eastAsiaTheme="minorEastAsia" w:hAnsiTheme="minorEastAsia" w:cs="宋体" w:hint="eastAsia"/>
          <w:color w:val="000000"/>
          <w:kern w:val="0"/>
          <w:sz w:val="22"/>
          <w:szCs w:val="22"/>
        </w:rPr>
        <w:t>3</w:t>
      </w:r>
      <w:r w:rsidR="00670E97" w:rsidRPr="001C2D24">
        <w:rPr>
          <w:rFonts w:asciiTheme="minorEastAsia" w:eastAsiaTheme="minorEastAsia" w:hAnsiTheme="minorEastAsia" w:cs="宋体" w:hint="eastAsia"/>
          <w:color w:val="000000"/>
          <w:kern w:val="0"/>
          <w:sz w:val="22"/>
          <w:szCs w:val="22"/>
        </w:rPr>
        <w:t>年同期进口量为</w:t>
      </w:r>
      <w:r w:rsidR="00BB3AF1">
        <w:rPr>
          <w:rFonts w:asciiTheme="minorEastAsia" w:eastAsiaTheme="minorEastAsia" w:hAnsiTheme="minorEastAsia" w:cs="宋体" w:hint="eastAsia"/>
          <w:color w:val="000000"/>
          <w:kern w:val="0"/>
          <w:sz w:val="22"/>
          <w:szCs w:val="22"/>
        </w:rPr>
        <w:t>58</w:t>
      </w:r>
      <w:r w:rsidR="00670E97" w:rsidRPr="001C2D24">
        <w:rPr>
          <w:rFonts w:asciiTheme="minorEastAsia" w:eastAsiaTheme="minorEastAsia" w:hAnsiTheme="minorEastAsia" w:cs="宋体" w:hint="eastAsia"/>
          <w:color w:val="000000"/>
          <w:kern w:val="0"/>
          <w:sz w:val="22"/>
          <w:szCs w:val="22"/>
        </w:rPr>
        <w:t>万吨，累计同比上涨</w:t>
      </w:r>
      <w:r w:rsidR="00333DCF">
        <w:rPr>
          <w:rFonts w:asciiTheme="minorEastAsia" w:eastAsiaTheme="minorEastAsia" w:hAnsiTheme="minorEastAsia" w:cs="宋体" w:hint="eastAsia"/>
          <w:color w:val="000000"/>
          <w:kern w:val="0"/>
          <w:sz w:val="22"/>
          <w:szCs w:val="22"/>
        </w:rPr>
        <w:t>2.75</w:t>
      </w:r>
      <w:r w:rsidR="00670E97" w:rsidRPr="001C2D24">
        <w:rPr>
          <w:rFonts w:asciiTheme="minorEastAsia" w:eastAsiaTheme="minorEastAsia" w:hAnsiTheme="minorEastAsia" w:cs="宋体" w:hint="eastAsia"/>
          <w:color w:val="000000"/>
          <w:kern w:val="0"/>
          <w:sz w:val="22"/>
          <w:szCs w:val="22"/>
        </w:rPr>
        <w:t>%。</w:t>
      </w:r>
      <w:r w:rsidR="00593B7D">
        <w:rPr>
          <w:rFonts w:asciiTheme="minorEastAsia" w:eastAsiaTheme="minorEastAsia" w:hAnsiTheme="minorEastAsia" w:cs="宋体" w:hint="eastAsia"/>
          <w:color w:val="000000"/>
          <w:kern w:val="0"/>
          <w:sz w:val="22"/>
          <w:szCs w:val="22"/>
        </w:rPr>
        <w:t>精炼锌进口方面，</w:t>
      </w:r>
      <w:r w:rsidR="00F22024">
        <w:rPr>
          <w:rFonts w:asciiTheme="minorEastAsia" w:eastAsiaTheme="minorEastAsia" w:hAnsiTheme="minorEastAsia" w:cs="宋体" w:hint="eastAsia"/>
          <w:color w:val="000000"/>
          <w:kern w:val="0"/>
          <w:sz w:val="22"/>
          <w:szCs w:val="22"/>
        </w:rPr>
        <w:t>2014</w:t>
      </w:r>
      <w:r w:rsidR="00333DCF">
        <w:rPr>
          <w:rFonts w:asciiTheme="minorEastAsia" w:eastAsiaTheme="minorEastAsia" w:hAnsiTheme="minorEastAsia" w:cs="宋体" w:hint="eastAsia"/>
          <w:color w:val="000000"/>
          <w:kern w:val="0"/>
          <w:sz w:val="22"/>
          <w:szCs w:val="22"/>
        </w:rPr>
        <w:t>年</w:t>
      </w:r>
      <w:r w:rsidR="00F22024">
        <w:rPr>
          <w:rFonts w:asciiTheme="minorEastAsia" w:eastAsiaTheme="minorEastAsia" w:hAnsiTheme="minorEastAsia" w:cs="宋体" w:hint="eastAsia"/>
          <w:color w:val="000000"/>
          <w:kern w:val="0"/>
          <w:sz w:val="22"/>
          <w:szCs w:val="22"/>
        </w:rPr>
        <w:t>1-4月</w:t>
      </w:r>
      <w:r w:rsidR="00333DCF">
        <w:rPr>
          <w:rFonts w:asciiTheme="minorEastAsia" w:eastAsiaTheme="minorEastAsia" w:hAnsiTheme="minorEastAsia" w:cs="宋体" w:hint="eastAsia"/>
          <w:color w:val="000000"/>
          <w:kern w:val="0"/>
          <w:sz w:val="22"/>
          <w:szCs w:val="22"/>
        </w:rPr>
        <w:t>国内</w:t>
      </w:r>
      <w:r w:rsidRPr="001C2D24">
        <w:rPr>
          <w:rFonts w:asciiTheme="minorEastAsia" w:eastAsiaTheme="minorEastAsia" w:hAnsiTheme="minorEastAsia" w:cs="宋体" w:hint="eastAsia"/>
          <w:color w:val="000000"/>
          <w:kern w:val="0"/>
          <w:sz w:val="22"/>
          <w:szCs w:val="22"/>
        </w:rPr>
        <w:t>精炼锌进口量为</w:t>
      </w:r>
      <w:r w:rsidR="00F22024">
        <w:rPr>
          <w:rFonts w:asciiTheme="minorEastAsia" w:eastAsiaTheme="minorEastAsia" w:hAnsiTheme="minorEastAsia" w:cs="宋体" w:hint="eastAsia"/>
          <w:color w:val="000000"/>
          <w:kern w:val="0"/>
          <w:sz w:val="22"/>
          <w:szCs w:val="22"/>
        </w:rPr>
        <w:t>26.23</w:t>
      </w:r>
      <w:r w:rsidRPr="001C2D24">
        <w:rPr>
          <w:rFonts w:asciiTheme="minorEastAsia" w:eastAsiaTheme="minorEastAsia" w:hAnsiTheme="minorEastAsia" w:cs="宋体" w:hint="eastAsia"/>
          <w:color w:val="000000"/>
          <w:kern w:val="0"/>
          <w:sz w:val="22"/>
          <w:szCs w:val="22"/>
        </w:rPr>
        <w:t>万吨，</w:t>
      </w:r>
      <w:r w:rsidRPr="001C2D24">
        <w:rPr>
          <w:rFonts w:asciiTheme="minorEastAsia" w:eastAsiaTheme="minorEastAsia" w:hAnsiTheme="minorEastAsia" w:cs="宋体"/>
          <w:color w:val="000000"/>
          <w:kern w:val="0"/>
          <w:sz w:val="22"/>
          <w:szCs w:val="22"/>
        </w:rPr>
        <w:t>201</w:t>
      </w:r>
      <w:r w:rsidR="00F22024">
        <w:rPr>
          <w:rFonts w:asciiTheme="minorEastAsia" w:eastAsiaTheme="minorEastAsia" w:hAnsiTheme="minorEastAsia" w:cs="宋体" w:hint="eastAsia"/>
          <w:color w:val="000000"/>
          <w:kern w:val="0"/>
          <w:sz w:val="22"/>
          <w:szCs w:val="22"/>
        </w:rPr>
        <w:t>3</w:t>
      </w:r>
      <w:r w:rsidRPr="001C2D24">
        <w:rPr>
          <w:rFonts w:asciiTheme="minorEastAsia" w:eastAsiaTheme="minorEastAsia" w:hAnsiTheme="minorEastAsia" w:cs="宋体" w:hint="eastAsia"/>
          <w:color w:val="000000"/>
          <w:kern w:val="0"/>
          <w:sz w:val="22"/>
          <w:szCs w:val="22"/>
        </w:rPr>
        <w:t>年</w:t>
      </w:r>
      <w:r w:rsidR="00F22024">
        <w:rPr>
          <w:rFonts w:asciiTheme="minorEastAsia" w:eastAsiaTheme="minorEastAsia" w:hAnsiTheme="minorEastAsia" w:cs="宋体" w:hint="eastAsia"/>
          <w:color w:val="000000"/>
          <w:kern w:val="0"/>
          <w:sz w:val="22"/>
          <w:szCs w:val="22"/>
        </w:rPr>
        <w:t>同期</w:t>
      </w:r>
      <w:r w:rsidR="006D563B" w:rsidRPr="001C2D24">
        <w:rPr>
          <w:rFonts w:asciiTheme="minorEastAsia" w:eastAsiaTheme="minorEastAsia" w:hAnsiTheme="minorEastAsia" w:cs="宋体" w:hint="eastAsia"/>
          <w:color w:val="000000"/>
          <w:kern w:val="0"/>
          <w:sz w:val="22"/>
          <w:szCs w:val="22"/>
        </w:rPr>
        <w:t>为</w:t>
      </w:r>
      <w:r w:rsidR="00F22024">
        <w:rPr>
          <w:rFonts w:asciiTheme="minorEastAsia" w:eastAsiaTheme="minorEastAsia" w:hAnsiTheme="minorEastAsia" w:cs="宋体" w:hint="eastAsia"/>
          <w:color w:val="000000"/>
          <w:kern w:val="0"/>
          <w:sz w:val="22"/>
          <w:szCs w:val="22"/>
        </w:rPr>
        <w:t>18.85</w:t>
      </w:r>
      <w:r w:rsidR="006D563B" w:rsidRPr="001C2D24">
        <w:rPr>
          <w:rFonts w:asciiTheme="minorEastAsia" w:eastAsiaTheme="minorEastAsia" w:hAnsiTheme="minorEastAsia" w:cs="宋体" w:hint="eastAsia"/>
          <w:color w:val="000000"/>
          <w:kern w:val="0"/>
          <w:sz w:val="22"/>
          <w:szCs w:val="22"/>
        </w:rPr>
        <w:t>万吨，同比上升</w:t>
      </w:r>
      <w:r w:rsidR="00F22024">
        <w:rPr>
          <w:rFonts w:asciiTheme="minorEastAsia" w:eastAsiaTheme="minorEastAsia" w:hAnsiTheme="minorEastAsia" w:cs="宋体" w:hint="eastAsia"/>
          <w:color w:val="000000"/>
          <w:kern w:val="0"/>
          <w:sz w:val="22"/>
          <w:szCs w:val="22"/>
        </w:rPr>
        <w:t>39.12</w:t>
      </w:r>
      <w:r w:rsidRPr="001C2D24">
        <w:rPr>
          <w:rFonts w:asciiTheme="minorEastAsia" w:eastAsiaTheme="minorEastAsia" w:hAnsiTheme="minorEastAsia" w:cs="宋体"/>
          <w:color w:val="000000"/>
          <w:kern w:val="0"/>
          <w:sz w:val="22"/>
          <w:szCs w:val="22"/>
        </w:rPr>
        <w:t>%</w:t>
      </w:r>
      <w:r w:rsidR="00593B7D">
        <w:rPr>
          <w:rFonts w:asciiTheme="minorEastAsia" w:eastAsiaTheme="minorEastAsia" w:hAnsiTheme="minorEastAsia" w:cs="宋体" w:hint="eastAsia"/>
          <w:color w:val="000000"/>
          <w:kern w:val="0"/>
          <w:sz w:val="22"/>
          <w:szCs w:val="22"/>
        </w:rPr>
        <w:t>。</w:t>
      </w:r>
      <w:r w:rsidRPr="001C2D24">
        <w:rPr>
          <w:rFonts w:asciiTheme="minorEastAsia" w:eastAsiaTheme="minorEastAsia" w:hAnsiTheme="minorEastAsia" w:cs="宋体" w:hint="eastAsia"/>
          <w:color w:val="000000"/>
          <w:kern w:val="0"/>
          <w:sz w:val="22"/>
          <w:szCs w:val="22"/>
        </w:rPr>
        <w:t>虽然</w:t>
      </w:r>
      <w:r w:rsidR="001A419C" w:rsidRPr="001C2D24">
        <w:rPr>
          <w:rFonts w:asciiTheme="minorEastAsia" w:eastAsiaTheme="minorEastAsia" w:hAnsiTheme="minorEastAsia" w:cs="宋体" w:hint="eastAsia"/>
          <w:color w:val="000000"/>
          <w:kern w:val="0"/>
          <w:sz w:val="22"/>
          <w:szCs w:val="22"/>
        </w:rPr>
        <w:t>累计进口</w:t>
      </w:r>
      <w:r w:rsidRPr="001C2D24">
        <w:rPr>
          <w:rFonts w:asciiTheme="minorEastAsia" w:eastAsiaTheme="minorEastAsia" w:hAnsiTheme="minorEastAsia" w:cs="宋体" w:hint="eastAsia"/>
          <w:color w:val="000000"/>
          <w:kern w:val="0"/>
          <w:sz w:val="22"/>
          <w:szCs w:val="22"/>
        </w:rPr>
        <w:t>总量远低于几百</w:t>
      </w:r>
      <w:r w:rsidR="006D563B" w:rsidRPr="001C2D24">
        <w:rPr>
          <w:rFonts w:asciiTheme="minorEastAsia" w:eastAsiaTheme="minorEastAsia" w:hAnsiTheme="minorEastAsia" w:cs="宋体" w:hint="eastAsia"/>
          <w:color w:val="000000"/>
          <w:kern w:val="0"/>
          <w:sz w:val="22"/>
          <w:szCs w:val="22"/>
        </w:rPr>
        <w:t>万</w:t>
      </w:r>
      <w:r w:rsidRPr="001C2D24">
        <w:rPr>
          <w:rFonts w:asciiTheme="minorEastAsia" w:eastAsiaTheme="minorEastAsia" w:hAnsiTheme="minorEastAsia" w:cs="宋体" w:hint="eastAsia"/>
          <w:color w:val="000000"/>
          <w:kern w:val="0"/>
          <w:sz w:val="22"/>
          <w:szCs w:val="22"/>
        </w:rPr>
        <w:t>吨的国内产量，但</w:t>
      </w:r>
      <w:r w:rsidR="001A419C" w:rsidRPr="001C2D24">
        <w:rPr>
          <w:rFonts w:asciiTheme="minorEastAsia" w:eastAsiaTheme="minorEastAsia" w:hAnsiTheme="minorEastAsia" w:cs="宋体" w:hint="eastAsia"/>
          <w:color w:val="000000"/>
          <w:kern w:val="0"/>
          <w:sz w:val="22"/>
          <w:szCs w:val="22"/>
        </w:rPr>
        <w:t>进口量</w:t>
      </w:r>
      <w:r w:rsidRPr="001C2D24">
        <w:rPr>
          <w:rFonts w:asciiTheme="minorEastAsia" w:eastAsiaTheme="minorEastAsia" w:hAnsiTheme="minorEastAsia" w:cs="宋体" w:hint="eastAsia"/>
          <w:color w:val="000000"/>
          <w:kern w:val="0"/>
          <w:sz w:val="22"/>
          <w:szCs w:val="22"/>
        </w:rPr>
        <w:t>的增长说明国内对锌需求的改善。</w:t>
      </w:r>
    </w:p>
    <w:p w:rsidR="00C74723" w:rsidRPr="002268AB" w:rsidRDefault="00C74723" w:rsidP="00C74723">
      <w:pPr>
        <w:pStyle w:val="a8"/>
        <w:keepNext/>
      </w:pPr>
      <w:r>
        <w:rPr>
          <w:rFonts w:hint="eastAsia"/>
        </w:rPr>
        <w:lastRenderedPageBreak/>
        <w:t>图表</w:t>
      </w:r>
      <w:r>
        <w:rPr>
          <w:rFonts w:hint="eastAsia"/>
        </w:rPr>
        <w:t xml:space="preserve"> 9 </w:t>
      </w:r>
      <w:r>
        <w:rPr>
          <w:rFonts w:hint="eastAsia"/>
        </w:rPr>
        <w:t>锌精矿进口数据</w:t>
      </w:r>
      <w:r>
        <w:rPr>
          <w:rFonts w:hint="eastAsia"/>
        </w:rPr>
        <w:t xml:space="preserve">                                    </w:t>
      </w:r>
      <w:r>
        <w:rPr>
          <w:rFonts w:hint="eastAsia"/>
        </w:rPr>
        <w:t>图表</w:t>
      </w:r>
      <w:r>
        <w:rPr>
          <w:rFonts w:hint="eastAsia"/>
        </w:rPr>
        <w:t xml:space="preserve"> 10 </w:t>
      </w:r>
      <w:r>
        <w:rPr>
          <w:rFonts w:hint="eastAsia"/>
        </w:rPr>
        <w:t>精炼锌进口数据</w:t>
      </w:r>
    </w:p>
    <w:tbl>
      <w:tblPr>
        <w:tblW w:w="11056" w:type="dxa"/>
        <w:jc w:val="center"/>
        <w:tblInd w:w="1061" w:type="dxa"/>
        <w:tblBorders>
          <w:top w:val="single" w:sz="12" w:space="0" w:color="C0504D"/>
          <w:bottom w:val="single" w:sz="12" w:space="0" w:color="C0504D"/>
          <w:insideH w:val="single" w:sz="4" w:space="0" w:color="auto"/>
        </w:tblBorders>
        <w:tblLook w:val="04A0"/>
      </w:tblPr>
      <w:tblGrid>
        <w:gridCol w:w="5619"/>
        <w:gridCol w:w="5741"/>
      </w:tblGrid>
      <w:tr w:rsidR="00C74723" w:rsidTr="005B7449">
        <w:trPr>
          <w:trHeight w:val="3969"/>
          <w:jc w:val="center"/>
        </w:trPr>
        <w:tc>
          <w:tcPr>
            <w:tcW w:w="5528" w:type="dxa"/>
          </w:tcPr>
          <w:p w:rsidR="00C74723" w:rsidRPr="009344A3" w:rsidRDefault="00F44749" w:rsidP="00F44749">
            <w:pPr>
              <w:tabs>
                <w:tab w:val="left" w:pos="1493"/>
              </w:tabs>
              <w:ind w:leftChars="-238" w:left="-500" w:rightChars="90" w:right="189" w:firstLineChars="153" w:firstLine="367"/>
              <w:jc w:val="right"/>
              <w:rPr>
                <w:rFonts w:ascii="宋体" w:cs="宋体"/>
                <w:color w:val="002C57"/>
                <w:kern w:val="0"/>
                <w:sz w:val="24"/>
                <w:lang w:val="zh-CN"/>
              </w:rPr>
            </w:pPr>
            <w:r w:rsidRPr="00F44749">
              <w:rPr>
                <w:rFonts w:ascii="宋体" w:cs="宋体"/>
                <w:noProof/>
                <w:color w:val="002C57"/>
                <w:kern w:val="0"/>
                <w:sz w:val="24"/>
              </w:rPr>
              <w:drawing>
                <wp:inline distT="0" distB="0" distL="0" distR="0">
                  <wp:extent cx="3628339" cy="2494483"/>
                  <wp:effectExtent l="0" t="0" r="0" b="0"/>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528" w:type="dxa"/>
          </w:tcPr>
          <w:p w:rsidR="00C74723" w:rsidRPr="009344A3" w:rsidRDefault="00597393" w:rsidP="005B7449">
            <w:pPr>
              <w:ind w:rightChars="-90" w:right="-189"/>
              <w:jc w:val="center"/>
              <w:rPr>
                <w:rFonts w:ascii="宋体" w:cs="宋体"/>
                <w:color w:val="002C57"/>
                <w:kern w:val="0"/>
                <w:sz w:val="24"/>
                <w:lang w:val="zh-CN"/>
              </w:rPr>
            </w:pPr>
            <w:r w:rsidRPr="00597393">
              <w:rPr>
                <w:rFonts w:ascii="宋体" w:cs="宋体"/>
                <w:noProof/>
                <w:color w:val="002C57"/>
                <w:kern w:val="0"/>
                <w:sz w:val="24"/>
              </w:rPr>
              <w:drawing>
                <wp:inline distT="0" distB="0" distL="0" distR="0">
                  <wp:extent cx="3628339" cy="2516429"/>
                  <wp:effectExtent l="0" t="0" r="0" b="0"/>
                  <wp:docPr id="1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C74723" w:rsidRPr="002268AB" w:rsidRDefault="00C74723" w:rsidP="00C74723">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sidR="002E40B2">
        <w:rPr>
          <w:rFonts w:hAnsi="宋体" w:hint="eastAsia"/>
          <w:bCs/>
          <w:color w:val="993300"/>
          <w:sz w:val="18"/>
          <w:szCs w:val="18"/>
        </w:rPr>
        <w:t>Wind</w:t>
      </w:r>
      <w:r>
        <w:rPr>
          <w:rFonts w:hAnsi="宋体" w:hint="eastAsia"/>
          <w:bCs/>
          <w:color w:val="993300"/>
          <w:sz w:val="18"/>
          <w:szCs w:val="18"/>
        </w:rPr>
        <w:t>，</w:t>
      </w:r>
      <w:r w:rsidRPr="004E44A4">
        <w:rPr>
          <w:rFonts w:hAnsi="宋体" w:hint="eastAsia"/>
          <w:bCs/>
          <w:color w:val="993300"/>
          <w:sz w:val="18"/>
          <w:szCs w:val="18"/>
        </w:rPr>
        <w:t>金源期货</w:t>
      </w:r>
    </w:p>
    <w:p w:rsidR="00DA3E8C" w:rsidRPr="0021792B" w:rsidRDefault="00DC2A74" w:rsidP="00277BFD">
      <w:pPr>
        <w:pStyle w:val="3"/>
        <w:numPr>
          <w:ilvl w:val="0"/>
          <w:numId w:val="24"/>
        </w:numPr>
        <w:spacing w:line="360" w:lineRule="auto"/>
        <w:rPr>
          <w:rFonts w:ascii="宋体" w:hAnsi="宋体"/>
          <w:color w:val="993300"/>
          <w:sz w:val="21"/>
          <w:szCs w:val="21"/>
        </w:rPr>
      </w:pPr>
      <w:bookmarkStart w:id="150" w:name="_Toc389830954"/>
      <w:r>
        <w:rPr>
          <w:rFonts w:ascii="宋体" w:hAnsi="宋体" w:hint="eastAsia"/>
          <w:color w:val="993300"/>
          <w:sz w:val="21"/>
          <w:szCs w:val="21"/>
        </w:rPr>
        <w:t>国内锌消费终端领域有所回暖</w:t>
      </w:r>
      <w:bookmarkEnd w:id="150"/>
    </w:p>
    <w:p w:rsidR="00345F76" w:rsidRDefault="00DE335C" w:rsidP="00C24B79">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今年年初的消费不景气，一方面由于信贷收紧，部分下游企业资金受限，企业原料库存备货周期缩短，即用即买偏多；另一方面，全国雾霾天气严重，企业环保压力较大，环保成本上升，一些规模较小的企业被迫停产改造甚至永久性关闭。今年以来，钢材的销售不尽人意，作为国内锌消费的主要领域</w:t>
      </w:r>
      <w:r>
        <w:rPr>
          <w:rFonts w:asciiTheme="minorEastAsia" w:eastAsiaTheme="minorEastAsia" w:hAnsiTheme="minorEastAsia" w:cs="宋体"/>
          <w:color w:val="000000"/>
          <w:kern w:val="0"/>
          <w:sz w:val="22"/>
          <w:szCs w:val="22"/>
        </w:rPr>
        <w:t>—</w:t>
      </w:r>
      <w:r>
        <w:rPr>
          <w:rFonts w:asciiTheme="minorEastAsia" w:eastAsiaTheme="minorEastAsia" w:hAnsiTheme="minorEastAsia" w:cs="宋体" w:hint="eastAsia"/>
          <w:color w:val="000000"/>
          <w:kern w:val="0"/>
          <w:sz w:val="22"/>
          <w:szCs w:val="22"/>
        </w:rPr>
        <w:t>镀锌板价格已经跌至2010年以来最低。尽管价格处于底部，然而镀锌板的产量依然高位运行。据统计，2014年1-3月国内重点企业共生产镀锌板（带）432.39万吨，去年同期为393.51万吨，同比上涨近10%。</w:t>
      </w:r>
    </w:p>
    <w:p w:rsidR="00C74723" w:rsidRPr="00BB06F2" w:rsidRDefault="00C74723" w:rsidP="00C74723">
      <w:pPr>
        <w:pStyle w:val="a8"/>
        <w:keepNext/>
        <w:jc w:val="center"/>
      </w:pPr>
      <w:r>
        <w:rPr>
          <w:rFonts w:hint="eastAsia"/>
        </w:rPr>
        <w:t>图表</w:t>
      </w:r>
      <w:r>
        <w:rPr>
          <w:rFonts w:hint="eastAsia"/>
        </w:rPr>
        <w:t xml:space="preserve"> 11  </w:t>
      </w:r>
      <w:r>
        <w:rPr>
          <w:rFonts w:hint="eastAsia"/>
        </w:rPr>
        <w:t>镀锌板（带）重点企业产量</w:t>
      </w:r>
    </w:p>
    <w:tbl>
      <w:tblPr>
        <w:tblW w:w="7327" w:type="dxa"/>
        <w:jc w:val="center"/>
        <w:tblInd w:w="1886" w:type="dxa"/>
        <w:tblBorders>
          <w:top w:val="single" w:sz="12" w:space="0" w:color="C0504D"/>
          <w:bottom w:val="single" w:sz="12" w:space="0" w:color="C0504D"/>
          <w:insideH w:val="single" w:sz="4" w:space="0" w:color="auto"/>
        </w:tblBorders>
        <w:tblLook w:val="04A0"/>
      </w:tblPr>
      <w:tblGrid>
        <w:gridCol w:w="7105"/>
        <w:gridCol w:w="222"/>
      </w:tblGrid>
      <w:tr w:rsidR="00C74723" w:rsidTr="00C60BDC">
        <w:trPr>
          <w:trHeight w:val="3733"/>
          <w:jc w:val="center"/>
        </w:trPr>
        <w:tc>
          <w:tcPr>
            <w:tcW w:w="7091" w:type="dxa"/>
          </w:tcPr>
          <w:p w:rsidR="00C74723" w:rsidRPr="009344A3" w:rsidRDefault="00C74723" w:rsidP="005B7449">
            <w:pPr>
              <w:jc w:val="center"/>
              <w:rPr>
                <w:rFonts w:ascii="宋体" w:cs="宋体"/>
                <w:color w:val="002C57"/>
                <w:kern w:val="0"/>
                <w:sz w:val="24"/>
                <w:lang w:val="zh-CN"/>
              </w:rPr>
            </w:pPr>
            <w:r w:rsidRPr="00BB06F2">
              <w:rPr>
                <w:rFonts w:ascii="宋体" w:cs="宋体"/>
                <w:noProof/>
                <w:color w:val="002C57"/>
                <w:kern w:val="0"/>
                <w:sz w:val="24"/>
              </w:rPr>
              <w:drawing>
                <wp:inline distT="0" distB="0" distL="0" distR="0">
                  <wp:extent cx="4374490" cy="2538374"/>
                  <wp:effectExtent l="0" t="0" r="0" b="0"/>
                  <wp:docPr id="5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36" w:type="dxa"/>
          </w:tcPr>
          <w:p w:rsidR="00C74723" w:rsidRPr="009344A3" w:rsidRDefault="00C74723" w:rsidP="005B7449">
            <w:pPr>
              <w:rPr>
                <w:rFonts w:ascii="宋体" w:cs="宋体"/>
                <w:color w:val="002C57"/>
                <w:kern w:val="0"/>
                <w:sz w:val="24"/>
                <w:lang w:val="zh-CN"/>
              </w:rPr>
            </w:pPr>
          </w:p>
        </w:tc>
      </w:tr>
    </w:tbl>
    <w:p w:rsidR="00345F76" w:rsidRDefault="00C74723" w:rsidP="00B66E72">
      <w:pPr>
        <w:topLinePunct/>
        <w:adjustRightInd w:val="0"/>
        <w:snapToGrid w:val="0"/>
        <w:spacing w:line="300" w:lineRule="auto"/>
        <w:ind w:firstLineChars="300" w:firstLine="540"/>
        <w:jc w:val="left"/>
        <w:rPr>
          <w:rFonts w:hAnsi="宋体"/>
          <w:bCs/>
          <w:color w:val="993300"/>
          <w:sz w:val="18"/>
          <w:szCs w:val="18"/>
        </w:rPr>
      </w:pPr>
      <w:r w:rsidRPr="0018376F">
        <w:rPr>
          <w:rFonts w:hAnsi="宋体" w:hint="eastAsia"/>
          <w:bCs/>
          <w:color w:val="993300"/>
          <w:sz w:val="18"/>
          <w:szCs w:val="18"/>
        </w:rPr>
        <w:t>数据来源：</w:t>
      </w:r>
      <w:r>
        <w:rPr>
          <w:rFonts w:hAnsi="宋体" w:hint="eastAsia"/>
          <w:bCs/>
          <w:color w:val="993300"/>
          <w:sz w:val="18"/>
          <w:szCs w:val="18"/>
        </w:rPr>
        <w:t>W</w:t>
      </w:r>
      <w:r w:rsidR="0035222C">
        <w:rPr>
          <w:rFonts w:hAnsi="宋体" w:hint="eastAsia"/>
          <w:bCs/>
          <w:color w:val="993300"/>
          <w:sz w:val="18"/>
          <w:szCs w:val="18"/>
        </w:rPr>
        <w:t>ind</w:t>
      </w:r>
      <w:r>
        <w:rPr>
          <w:rFonts w:hAnsi="宋体" w:hint="eastAsia"/>
          <w:bCs/>
          <w:color w:val="993300"/>
          <w:sz w:val="18"/>
          <w:szCs w:val="18"/>
        </w:rPr>
        <w:t>，</w:t>
      </w:r>
      <w:r w:rsidRPr="0018376F">
        <w:rPr>
          <w:rFonts w:hAnsi="宋体" w:hint="eastAsia"/>
          <w:bCs/>
          <w:color w:val="993300"/>
          <w:sz w:val="18"/>
          <w:szCs w:val="18"/>
        </w:rPr>
        <w:t>金源期货</w:t>
      </w:r>
    </w:p>
    <w:p w:rsidR="00C24B79" w:rsidRPr="00C24B79" w:rsidRDefault="00C24B79" w:rsidP="00C24B79">
      <w:pPr>
        <w:spacing w:line="300" w:lineRule="auto"/>
        <w:ind w:firstLineChars="200" w:firstLine="440"/>
        <w:rPr>
          <w:rFonts w:asciiTheme="minorEastAsia" w:eastAsiaTheme="minorEastAsia" w:hAnsiTheme="minorEastAsia" w:cs="宋体"/>
          <w:color w:val="000000"/>
          <w:kern w:val="0"/>
          <w:sz w:val="22"/>
          <w:szCs w:val="22"/>
        </w:rPr>
      </w:pPr>
      <w:r w:rsidRPr="00C24B79">
        <w:rPr>
          <w:rFonts w:asciiTheme="minorEastAsia" w:eastAsiaTheme="minorEastAsia" w:hAnsiTheme="minorEastAsia" w:cs="宋体" w:hint="eastAsia"/>
          <w:color w:val="000000"/>
          <w:kern w:val="0"/>
          <w:sz w:val="22"/>
          <w:szCs w:val="22"/>
        </w:rPr>
        <w:t>一季度过后，受国内宏观微刺激影响，各消费领域均有所回暖，如铁路、汽车、房地产、家电行业等。据中国铁路总公司统计，2014年一季度全国铁路完成基本建设投资</w:t>
      </w:r>
      <w:r w:rsidRPr="00C24B79">
        <w:rPr>
          <w:rFonts w:asciiTheme="minorEastAsia" w:eastAsiaTheme="minorEastAsia" w:hAnsiTheme="minorEastAsia" w:cs="宋体" w:hint="eastAsia"/>
          <w:color w:val="000000"/>
          <w:kern w:val="0"/>
          <w:sz w:val="22"/>
          <w:szCs w:val="22"/>
        </w:rPr>
        <w:lastRenderedPageBreak/>
        <w:t>545.1亿元，同比增加119.2亿元，增长了28个百分点。</w:t>
      </w:r>
    </w:p>
    <w:p w:rsidR="001E001E" w:rsidRDefault="001E001E" w:rsidP="000346CA">
      <w:pPr>
        <w:spacing w:line="300" w:lineRule="auto"/>
        <w:ind w:firstLineChars="200" w:firstLine="440"/>
        <w:rPr>
          <w:rFonts w:asciiTheme="minorEastAsia" w:eastAsiaTheme="minorEastAsia" w:hAnsiTheme="minorEastAsia" w:cs="宋体"/>
          <w:color w:val="000000"/>
          <w:kern w:val="0"/>
          <w:sz w:val="22"/>
          <w:szCs w:val="22"/>
        </w:rPr>
      </w:pPr>
      <w:r w:rsidRPr="00F509FE">
        <w:rPr>
          <w:rFonts w:asciiTheme="minorEastAsia" w:eastAsiaTheme="minorEastAsia" w:hAnsiTheme="minorEastAsia" w:cs="宋体" w:hint="eastAsia"/>
          <w:color w:val="000000"/>
          <w:kern w:val="0"/>
          <w:sz w:val="22"/>
          <w:szCs w:val="22"/>
        </w:rPr>
        <w:t>从下游需求行业看，镀锌板的主要消费领域为建筑业、汽车业、家电业。</w:t>
      </w:r>
      <w:r w:rsidR="0050375C">
        <w:rPr>
          <w:rFonts w:asciiTheme="minorEastAsia" w:eastAsiaTheme="minorEastAsia" w:hAnsiTheme="minorEastAsia" w:cs="宋体" w:hint="eastAsia"/>
          <w:color w:val="000000"/>
          <w:kern w:val="0"/>
          <w:sz w:val="22"/>
          <w:szCs w:val="22"/>
        </w:rPr>
        <w:t>作为镀锌板的终端消费领域，</w:t>
      </w:r>
      <w:r w:rsidRPr="00F509FE">
        <w:rPr>
          <w:rFonts w:asciiTheme="minorEastAsia" w:eastAsiaTheme="minorEastAsia" w:hAnsiTheme="minorEastAsia" w:cs="宋体" w:hint="eastAsia"/>
          <w:color w:val="000000"/>
          <w:kern w:val="0"/>
          <w:sz w:val="22"/>
          <w:szCs w:val="22"/>
        </w:rPr>
        <w:t>汽车行业</w:t>
      </w:r>
      <w:r w:rsidR="0050375C">
        <w:rPr>
          <w:rFonts w:asciiTheme="minorEastAsia" w:eastAsiaTheme="minorEastAsia" w:hAnsiTheme="minorEastAsia" w:cs="宋体" w:hint="eastAsia"/>
          <w:color w:val="000000"/>
          <w:kern w:val="0"/>
          <w:sz w:val="22"/>
          <w:szCs w:val="22"/>
        </w:rPr>
        <w:t>表现较佳。</w:t>
      </w:r>
      <w:r w:rsidRPr="00F509FE">
        <w:rPr>
          <w:rFonts w:asciiTheme="minorEastAsia" w:eastAsiaTheme="minorEastAsia" w:hAnsiTheme="minorEastAsia" w:cs="宋体"/>
          <w:color w:val="000000"/>
          <w:kern w:val="0"/>
          <w:sz w:val="22"/>
          <w:szCs w:val="22"/>
        </w:rPr>
        <w:t>2013</w:t>
      </w:r>
      <w:r w:rsidR="00980341" w:rsidRPr="00F509FE">
        <w:rPr>
          <w:rFonts w:asciiTheme="minorEastAsia" w:eastAsiaTheme="minorEastAsia" w:hAnsiTheme="minorEastAsia" w:cs="宋体" w:hint="eastAsia"/>
          <w:color w:val="000000"/>
          <w:kern w:val="0"/>
          <w:sz w:val="22"/>
          <w:szCs w:val="22"/>
        </w:rPr>
        <w:t>年产销量都有大幅度</w:t>
      </w:r>
      <w:r w:rsidR="00F509FE" w:rsidRPr="00F509FE">
        <w:rPr>
          <w:rFonts w:asciiTheme="minorEastAsia" w:eastAsiaTheme="minorEastAsia" w:hAnsiTheme="minorEastAsia" w:cs="宋体" w:hint="eastAsia"/>
          <w:color w:val="000000"/>
          <w:kern w:val="0"/>
          <w:sz w:val="22"/>
          <w:szCs w:val="22"/>
        </w:rPr>
        <w:t>的提高。2013年</w:t>
      </w:r>
      <w:r w:rsidR="007A68C6">
        <w:rPr>
          <w:rFonts w:asciiTheme="minorEastAsia" w:eastAsiaTheme="minorEastAsia" w:hAnsiTheme="minorEastAsia" w:cs="宋体" w:hint="eastAsia"/>
          <w:color w:val="000000"/>
          <w:kern w:val="0"/>
          <w:sz w:val="22"/>
          <w:szCs w:val="22"/>
        </w:rPr>
        <w:t>全年</w:t>
      </w:r>
      <w:r w:rsidRPr="00F509FE">
        <w:rPr>
          <w:rFonts w:asciiTheme="minorEastAsia" w:eastAsiaTheme="minorEastAsia" w:hAnsiTheme="minorEastAsia" w:cs="宋体" w:hint="eastAsia"/>
          <w:color w:val="000000"/>
          <w:kern w:val="0"/>
          <w:sz w:val="22"/>
          <w:szCs w:val="22"/>
        </w:rPr>
        <w:t>产销</w:t>
      </w:r>
      <w:r w:rsidR="00F509FE" w:rsidRPr="00F509FE">
        <w:rPr>
          <w:rFonts w:asciiTheme="minorEastAsia" w:eastAsiaTheme="minorEastAsia" w:hAnsiTheme="minorEastAsia" w:cs="宋体" w:hint="eastAsia"/>
          <w:color w:val="000000"/>
          <w:kern w:val="0"/>
          <w:sz w:val="22"/>
          <w:szCs w:val="22"/>
        </w:rPr>
        <w:t>量</w:t>
      </w:r>
      <w:r w:rsidRPr="00F509FE">
        <w:rPr>
          <w:rFonts w:asciiTheme="minorEastAsia" w:eastAsiaTheme="minorEastAsia" w:hAnsiTheme="minorEastAsia" w:cs="宋体" w:hint="eastAsia"/>
          <w:color w:val="000000"/>
          <w:kern w:val="0"/>
          <w:sz w:val="22"/>
          <w:szCs w:val="22"/>
        </w:rPr>
        <w:t>分别为</w:t>
      </w:r>
      <w:r w:rsidR="0035629A">
        <w:rPr>
          <w:rFonts w:asciiTheme="minorEastAsia" w:eastAsiaTheme="minorEastAsia" w:hAnsiTheme="minorEastAsia" w:cs="宋体" w:hint="eastAsia"/>
          <w:color w:val="000000"/>
          <w:kern w:val="0"/>
          <w:sz w:val="22"/>
          <w:szCs w:val="22"/>
        </w:rPr>
        <w:t>2</w:t>
      </w:r>
      <w:r w:rsidR="0060339C">
        <w:rPr>
          <w:rFonts w:asciiTheme="minorEastAsia" w:eastAsiaTheme="minorEastAsia" w:hAnsiTheme="minorEastAsia" w:cs="宋体" w:hint="eastAsia"/>
          <w:color w:val="000000"/>
          <w:kern w:val="0"/>
          <w:sz w:val="22"/>
          <w:szCs w:val="22"/>
        </w:rPr>
        <w:t>387.42</w:t>
      </w:r>
      <w:r w:rsidRPr="00F509FE">
        <w:rPr>
          <w:rFonts w:asciiTheme="minorEastAsia" w:eastAsiaTheme="minorEastAsia" w:hAnsiTheme="minorEastAsia" w:cs="宋体" w:hint="eastAsia"/>
          <w:color w:val="000000"/>
          <w:kern w:val="0"/>
          <w:sz w:val="22"/>
          <w:szCs w:val="22"/>
        </w:rPr>
        <w:t>万辆和</w:t>
      </w:r>
      <w:r w:rsidR="0060339C">
        <w:rPr>
          <w:rFonts w:asciiTheme="minorEastAsia" w:eastAsiaTheme="minorEastAsia" w:hAnsiTheme="minorEastAsia" w:cs="宋体" w:hint="eastAsia"/>
          <w:color w:val="000000"/>
          <w:kern w:val="0"/>
          <w:sz w:val="22"/>
          <w:szCs w:val="22"/>
        </w:rPr>
        <w:t>2198.4</w:t>
      </w:r>
      <w:r w:rsidR="00F509FE" w:rsidRPr="00F509FE">
        <w:rPr>
          <w:rFonts w:asciiTheme="minorEastAsia" w:eastAsiaTheme="minorEastAsia" w:hAnsiTheme="minorEastAsia" w:cs="宋体" w:hint="eastAsia"/>
          <w:color w:val="000000"/>
          <w:kern w:val="0"/>
          <w:sz w:val="22"/>
          <w:szCs w:val="22"/>
        </w:rPr>
        <w:t>万辆</w:t>
      </w:r>
      <w:r w:rsidRPr="00F509FE">
        <w:rPr>
          <w:rFonts w:asciiTheme="minorEastAsia" w:eastAsiaTheme="minorEastAsia" w:hAnsiTheme="minorEastAsia" w:cs="宋体" w:hint="eastAsia"/>
          <w:color w:val="000000"/>
          <w:kern w:val="0"/>
          <w:sz w:val="22"/>
          <w:szCs w:val="22"/>
        </w:rPr>
        <w:t>，较</w:t>
      </w:r>
      <w:r w:rsidR="00F509FE" w:rsidRPr="00F509FE">
        <w:rPr>
          <w:rFonts w:asciiTheme="minorEastAsia" w:eastAsiaTheme="minorEastAsia" w:hAnsiTheme="minorEastAsia" w:cs="宋体" w:hint="eastAsia"/>
          <w:color w:val="000000"/>
          <w:kern w:val="0"/>
          <w:sz w:val="22"/>
          <w:szCs w:val="22"/>
        </w:rPr>
        <w:t>2012</w:t>
      </w:r>
      <w:r w:rsidRPr="00F509FE">
        <w:rPr>
          <w:rFonts w:asciiTheme="minorEastAsia" w:eastAsiaTheme="minorEastAsia" w:hAnsiTheme="minorEastAsia" w:cs="宋体" w:hint="eastAsia"/>
          <w:color w:val="000000"/>
          <w:kern w:val="0"/>
          <w:sz w:val="22"/>
          <w:szCs w:val="22"/>
        </w:rPr>
        <w:t>年同期增长</w:t>
      </w:r>
      <w:r w:rsidR="0035629A">
        <w:rPr>
          <w:rFonts w:asciiTheme="minorEastAsia" w:eastAsiaTheme="minorEastAsia" w:hAnsiTheme="minorEastAsia" w:cs="宋体" w:hint="eastAsia"/>
          <w:color w:val="000000"/>
          <w:kern w:val="0"/>
          <w:sz w:val="22"/>
          <w:szCs w:val="22"/>
        </w:rPr>
        <w:t>18.</w:t>
      </w:r>
      <w:r w:rsidR="0060339C">
        <w:rPr>
          <w:rFonts w:asciiTheme="minorEastAsia" w:eastAsiaTheme="minorEastAsia" w:hAnsiTheme="minorEastAsia" w:cs="宋体" w:hint="eastAsia"/>
          <w:color w:val="000000"/>
          <w:kern w:val="0"/>
          <w:sz w:val="22"/>
          <w:szCs w:val="22"/>
        </w:rPr>
        <w:t>4</w:t>
      </w:r>
      <w:r w:rsidRPr="00F509FE">
        <w:rPr>
          <w:rFonts w:asciiTheme="minorEastAsia" w:eastAsiaTheme="minorEastAsia" w:hAnsiTheme="minorEastAsia" w:cs="宋体"/>
          <w:color w:val="000000"/>
          <w:kern w:val="0"/>
          <w:sz w:val="22"/>
          <w:szCs w:val="22"/>
        </w:rPr>
        <w:t>%</w:t>
      </w:r>
      <w:r w:rsidRPr="00F509FE">
        <w:rPr>
          <w:rFonts w:asciiTheme="minorEastAsia" w:eastAsiaTheme="minorEastAsia" w:hAnsiTheme="minorEastAsia" w:cs="宋体" w:hint="eastAsia"/>
          <w:color w:val="000000"/>
          <w:kern w:val="0"/>
          <w:sz w:val="22"/>
          <w:szCs w:val="22"/>
        </w:rPr>
        <w:t>和</w:t>
      </w:r>
      <w:r w:rsidRPr="00F509FE">
        <w:rPr>
          <w:rFonts w:asciiTheme="minorEastAsia" w:eastAsiaTheme="minorEastAsia" w:hAnsiTheme="minorEastAsia" w:cs="宋体"/>
          <w:color w:val="000000"/>
          <w:kern w:val="0"/>
          <w:sz w:val="22"/>
          <w:szCs w:val="22"/>
        </w:rPr>
        <w:t>13.</w:t>
      </w:r>
      <w:r w:rsidR="0060339C">
        <w:rPr>
          <w:rFonts w:asciiTheme="minorEastAsia" w:eastAsiaTheme="minorEastAsia" w:hAnsiTheme="minorEastAsia" w:cs="宋体" w:hint="eastAsia"/>
          <w:color w:val="000000"/>
          <w:kern w:val="0"/>
          <w:sz w:val="22"/>
          <w:szCs w:val="22"/>
        </w:rPr>
        <w:t>87</w:t>
      </w:r>
      <w:r w:rsidRPr="00F509FE">
        <w:rPr>
          <w:rFonts w:asciiTheme="minorEastAsia" w:eastAsiaTheme="minorEastAsia" w:hAnsiTheme="minorEastAsia" w:cs="宋体"/>
          <w:color w:val="000000"/>
          <w:kern w:val="0"/>
          <w:sz w:val="22"/>
          <w:szCs w:val="22"/>
        </w:rPr>
        <w:t>%</w:t>
      </w:r>
      <w:r w:rsidR="00F509FE" w:rsidRPr="00F509FE">
        <w:rPr>
          <w:rFonts w:asciiTheme="minorEastAsia" w:eastAsiaTheme="minorEastAsia" w:hAnsiTheme="minorEastAsia" w:cs="宋体" w:hint="eastAsia"/>
          <w:color w:val="000000"/>
          <w:kern w:val="0"/>
          <w:sz w:val="22"/>
          <w:szCs w:val="22"/>
        </w:rPr>
        <w:t>。</w:t>
      </w:r>
      <w:r w:rsidR="0050375C">
        <w:rPr>
          <w:rFonts w:asciiTheme="minorEastAsia" w:eastAsiaTheme="minorEastAsia" w:hAnsiTheme="minorEastAsia" w:cs="宋体" w:hint="eastAsia"/>
          <w:color w:val="000000"/>
          <w:kern w:val="0"/>
          <w:sz w:val="22"/>
          <w:szCs w:val="22"/>
        </w:rPr>
        <w:t>2014年一季度我国汽车产销表现亮眼，其中3月份产销再创新高。3月份汽车销售量为216.91万辆，同比增长6.58%</w:t>
      </w:r>
      <w:r w:rsidR="00FC15D5">
        <w:rPr>
          <w:rFonts w:asciiTheme="minorEastAsia" w:eastAsiaTheme="minorEastAsia" w:hAnsiTheme="minorEastAsia" w:cs="宋体" w:hint="eastAsia"/>
          <w:color w:val="000000"/>
          <w:kern w:val="0"/>
          <w:sz w:val="22"/>
          <w:szCs w:val="22"/>
        </w:rPr>
        <w:t>；产量为220.17万辆，同比增长5.59%。今年4月国内汽车销售达到200.43万辆，1-4月累计销售量为792.51万辆，去年同期为726.62万辆，同比增速超过9%。</w:t>
      </w:r>
      <w:r w:rsidR="00F509FE">
        <w:rPr>
          <w:rFonts w:asciiTheme="minorEastAsia" w:eastAsiaTheme="minorEastAsia" w:hAnsiTheme="minorEastAsia" w:cs="宋体" w:hint="eastAsia"/>
          <w:color w:val="000000"/>
          <w:kern w:val="0"/>
          <w:sz w:val="22"/>
          <w:szCs w:val="22"/>
        </w:rPr>
        <w:t>汽车产销保持高速增长成为拉动锌市消费的亮点，我们</w:t>
      </w:r>
      <w:r w:rsidRPr="00F509FE">
        <w:rPr>
          <w:rFonts w:asciiTheme="minorEastAsia" w:eastAsiaTheme="minorEastAsia" w:hAnsiTheme="minorEastAsia" w:cs="宋体" w:hint="eastAsia"/>
          <w:color w:val="000000"/>
          <w:kern w:val="0"/>
          <w:sz w:val="22"/>
          <w:szCs w:val="22"/>
        </w:rPr>
        <w:t>预计</w:t>
      </w:r>
      <w:r w:rsidRPr="00F509FE">
        <w:rPr>
          <w:rFonts w:asciiTheme="minorEastAsia" w:eastAsiaTheme="minorEastAsia" w:hAnsiTheme="minorEastAsia" w:cs="宋体"/>
          <w:color w:val="000000"/>
          <w:kern w:val="0"/>
          <w:sz w:val="22"/>
          <w:szCs w:val="22"/>
        </w:rPr>
        <w:t>2014</w:t>
      </w:r>
      <w:r w:rsidRPr="00F509FE">
        <w:rPr>
          <w:rFonts w:asciiTheme="minorEastAsia" w:eastAsiaTheme="minorEastAsia" w:hAnsiTheme="minorEastAsia" w:cs="宋体" w:hint="eastAsia"/>
          <w:color w:val="000000"/>
          <w:kern w:val="0"/>
          <w:sz w:val="22"/>
          <w:szCs w:val="22"/>
        </w:rPr>
        <w:t>年</w:t>
      </w:r>
      <w:r w:rsidR="0050375C">
        <w:rPr>
          <w:rFonts w:asciiTheme="minorEastAsia" w:eastAsiaTheme="minorEastAsia" w:hAnsiTheme="minorEastAsia" w:cs="宋体" w:hint="eastAsia"/>
          <w:color w:val="000000"/>
          <w:kern w:val="0"/>
          <w:sz w:val="22"/>
          <w:szCs w:val="22"/>
        </w:rPr>
        <w:t>全年</w:t>
      </w:r>
      <w:r w:rsidRPr="00F509FE">
        <w:rPr>
          <w:rFonts w:asciiTheme="minorEastAsia" w:eastAsiaTheme="minorEastAsia" w:hAnsiTheme="minorEastAsia" w:cs="宋体" w:hint="eastAsia"/>
          <w:color w:val="000000"/>
          <w:kern w:val="0"/>
          <w:sz w:val="22"/>
          <w:szCs w:val="22"/>
        </w:rPr>
        <w:t>汽车产销增速将维持高位。</w:t>
      </w:r>
    </w:p>
    <w:p w:rsidR="00C74723" w:rsidRPr="002268AB" w:rsidRDefault="00C74723" w:rsidP="00C74723">
      <w:pPr>
        <w:pStyle w:val="a8"/>
        <w:keepNext/>
      </w:pPr>
      <w:r>
        <w:rPr>
          <w:rFonts w:hint="eastAsia"/>
        </w:rPr>
        <w:t>图表</w:t>
      </w:r>
      <w:r>
        <w:rPr>
          <w:rFonts w:hint="eastAsia"/>
        </w:rPr>
        <w:t xml:space="preserve"> 12 </w:t>
      </w:r>
      <w:r>
        <w:rPr>
          <w:rFonts w:hint="eastAsia"/>
        </w:rPr>
        <w:t>汽车累计</w:t>
      </w:r>
      <w:r w:rsidRPr="00FB2660">
        <w:rPr>
          <w:rFonts w:hint="eastAsia"/>
        </w:rPr>
        <w:t>产量</w:t>
      </w:r>
      <w:r>
        <w:rPr>
          <w:rFonts w:hint="eastAsia"/>
        </w:rPr>
        <w:t>数据</w:t>
      </w:r>
      <w:r>
        <w:rPr>
          <w:rFonts w:hint="eastAsia"/>
        </w:rPr>
        <w:t xml:space="preserve">                                </w:t>
      </w:r>
      <w:r>
        <w:rPr>
          <w:rFonts w:hint="eastAsia"/>
        </w:rPr>
        <w:t>图表</w:t>
      </w:r>
      <w:r>
        <w:rPr>
          <w:rFonts w:hint="eastAsia"/>
        </w:rPr>
        <w:t xml:space="preserve"> 13 </w:t>
      </w:r>
      <w:r>
        <w:rPr>
          <w:rFonts w:hint="eastAsia"/>
        </w:rPr>
        <w:t>汽车累计</w:t>
      </w:r>
      <w:r w:rsidRPr="00F14F27">
        <w:rPr>
          <w:rFonts w:hint="eastAsia"/>
        </w:rPr>
        <w:t>销量走势</w:t>
      </w:r>
    </w:p>
    <w:tbl>
      <w:tblPr>
        <w:tblW w:w="11056" w:type="dxa"/>
        <w:jc w:val="center"/>
        <w:tblInd w:w="1061" w:type="dxa"/>
        <w:tblBorders>
          <w:top w:val="single" w:sz="12" w:space="0" w:color="C0504D"/>
          <w:bottom w:val="single" w:sz="12" w:space="0" w:color="C0504D"/>
          <w:insideH w:val="single" w:sz="4" w:space="0" w:color="auto"/>
        </w:tblBorders>
        <w:tblLook w:val="04A0"/>
      </w:tblPr>
      <w:tblGrid>
        <w:gridCol w:w="5585"/>
        <w:gridCol w:w="5603"/>
      </w:tblGrid>
      <w:tr w:rsidR="00C74723" w:rsidTr="005017A2">
        <w:trPr>
          <w:trHeight w:val="3969"/>
          <w:jc w:val="center"/>
        </w:trPr>
        <w:tc>
          <w:tcPr>
            <w:tcW w:w="5528" w:type="dxa"/>
          </w:tcPr>
          <w:p w:rsidR="00C74723" w:rsidRPr="008A2911" w:rsidRDefault="00F509FE" w:rsidP="00F509FE">
            <w:pPr>
              <w:tabs>
                <w:tab w:val="left" w:pos="1493"/>
              </w:tabs>
              <w:ind w:leftChars="-238" w:left="-500" w:rightChars="90" w:right="189" w:firstLineChars="153" w:firstLine="367"/>
              <w:jc w:val="right"/>
              <w:rPr>
                <w:rFonts w:ascii="宋体" w:cs="宋体"/>
                <w:color w:val="002C57"/>
                <w:kern w:val="0"/>
                <w:sz w:val="24"/>
              </w:rPr>
            </w:pPr>
            <w:r w:rsidRPr="00F509FE">
              <w:rPr>
                <w:rFonts w:ascii="宋体" w:cs="宋体"/>
                <w:noProof/>
                <w:color w:val="002C57"/>
                <w:kern w:val="0"/>
                <w:sz w:val="24"/>
              </w:rPr>
              <w:drawing>
                <wp:inline distT="0" distB="0" distL="0" distR="0">
                  <wp:extent cx="3606394" cy="2509114"/>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528" w:type="dxa"/>
          </w:tcPr>
          <w:p w:rsidR="00C74723" w:rsidRPr="009344A3" w:rsidRDefault="00C74723" w:rsidP="005B7449">
            <w:pPr>
              <w:ind w:rightChars="-90" w:right="-189"/>
              <w:jc w:val="center"/>
              <w:rPr>
                <w:rFonts w:ascii="宋体" w:cs="宋体"/>
                <w:color w:val="002C57"/>
                <w:kern w:val="0"/>
                <w:sz w:val="24"/>
                <w:lang w:val="zh-CN"/>
              </w:rPr>
            </w:pPr>
            <w:r w:rsidRPr="00BB06F2">
              <w:rPr>
                <w:rFonts w:ascii="宋体" w:cs="宋体"/>
                <w:noProof/>
                <w:color w:val="002C57"/>
                <w:kern w:val="0"/>
                <w:sz w:val="24"/>
              </w:rPr>
              <w:drawing>
                <wp:inline distT="0" distB="0" distL="0" distR="0">
                  <wp:extent cx="3540557" cy="2487168"/>
                  <wp:effectExtent l="0" t="0" r="0" b="0"/>
                  <wp:docPr id="4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C74723" w:rsidRPr="00496D14" w:rsidRDefault="00C74723" w:rsidP="00C74723">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Pr>
          <w:rFonts w:hAnsi="宋体" w:hint="eastAsia"/>
          <w:bCs/>
          <w:color w:val="993300"/>
          <w:sz w:val="18"/>
          <w:szCs w:val="18"/>
        </w:rPr>
        <w:t>WIND</w:t>
      </w:r>
      <w:r>
        <w:rPr>
          <w:rFonts w:hAnsi="宋体" w:hint="eastAsia"/>
          <w:bCs/>
          <w:color w:val="993300"/>
          <w:sz w:val="18"/>
          <w:szCs w:val="18"/>
        </w:rPr>
        <w:t>，</w:t>
      </w:r>
      <w:r w:rsidRPr="004E44A4">
        <w:rPr>
          <w:rFonts w:hAnsi="宋体" w:hint="eastAsia"/>
          <w:bCs/>
          <w:color w:val="993300"/>
          <w:sz w:val="18"/>
          <w:szCs w:val="18"/>
        </w:rPr>
        <w:t>金源期货</w:t>
      </w:r>
    </w:p>
    <w:p w:rsidR="00F509FE" w:rsidRPr="006E4456" w:rsidRDefault="00961DA7" w:rsidP="00A4335C">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房地产</w:t>
      </w:r>
      <w:r w:rsidR="00F509FE" w:rsidRPr="00A4335C">
        <w:rPr>
          <w:rFonts w:asciiTheme="minorEastAsia" w:eastAsiaTheme="minorEastAsia" w:hAnsiTheme="minorEastAsia" w:cs="宋体" w:hint="eastAsia"/>
          <w:color w:val="000000"/>
          <w:kern w:val="0"/>
          <w:sz w:val="22"/>
          <w:szCs w:val="22"/>
        </w:rPr>
        <w:t>方面，</w:t>
      </w:r>
      <w:r w:rsidR="001702C2">
        <w:rPr>
          <w:rFonts w:asciiTheme="minorEastAsia" w:eastAsiaTheme="minorEastAsia" w:hAnsiTheme="minorEastAsia" w:cs="宋体" w:hint="eastAsia"/>
          <w:color w:val="000000"/>
          <w:kern w:val="0"/>
          <w:sz w:val="22"/>
          <w:szCs w:val="22"/>
        </w:rPr>
        <w:t>今年1-</w:t>
      </w:r>
      <w:r w:rsidR="001702C2" w:rsidRPr="001702C2">
        <w:rPr>
          <w:rFonts w:asciiTheme="minorEastAsia" w:eastAsiaTheme="minorEastAsia" w:hAnsiTheme="minorEastAsia" w:cs="宋体" w:hint="eastAsia"/>
          <w:color w:val="000000"/>
          <w:kern w:val="0"/>
          <w:sz w:val="22"/>
          <w:szCs w:val="22"/>
        </w:rPr>
        <w:t>4月，全国房地产开发投资增速继续回落，房屋新开工面积、房地产开发企业土地购置面积、全国商品房销售等指标均同比继续下降，并且后三者的降幅继续扩大，4月国房景气指数继续回落</w:t>
      </w:r>
      <w:r w:rsidR="00F509FE" w:rsidRPr="00A4335C">
        <w:rPr>
          <w:rFonts w:asciiTheme="minorEastAsia" w:eastAsiaTheme="minorEastAsia" w:hAnsiTheme="minorEastAsia" w:cs="宋体" w:hint="eastAsia"/>
          <w:color w:val="000000"/>
          <w:kern w:val="0"/>
          <w:sz w:val="22"/>
          <w:szCs w:val="22"/>
        </w:rPr>
        <w:t>。</w:t>
      </w:r>
      <w:r w:rsidR="001702C2" w:rsidRPr="001702C2">
        <w:rPr>
          <w:rFonts w:asciiTheme="minorEastAsia" w:eastAsiaTheme="minorEastAsia" w:hAnsiTheme="minorEastAsia" w:cs="宋体" w:hint="eastAsia"/>
          <w:color w:val="000000"/>
          <w:kern w:val="0"/>
          <w:sz w:val="22"/>
          <w:szCs w:val="22"/>
        </w:rPr>
        <w:t>房地产市场成交持续放缓导致库存增加，库存的增加将很快导致价格调整。继4月公布的房地产投资数据全线回落，5月百城房价两年内首次环比回落，同时知名企业销售同比大幅下跌；住建部明确表示不刺激不打压，这意味着地方政府限购政策或难以放开，但不动产登条例支持以人查房或引发房产抛售潮，二手房销售或引发小高潮</w:t>
      </w:r>
      <w:r w:rsidR="001702C2">
        <w:rPr>
          <w:rFonts w:asciiTheme="minorEastAsia" w:eastAsiaTheme="minorEastAsia" w:hAnsiTheme="minorEastAsia" w:cs="宋体" w:hint="eastAsia"/>
          <w:color w:val="000000"/>
          <w:kern w:val="0"/>
          <w:sz w:val="22"/>
          <w:szCs w:val="22"/>
        </w:rPr>
        <w:t>。</w:t>
      </w:r>
      <w:r w:rsidR="008B5253">
        <w:rPr>
          <w:rFonts w:asciiTheme="minorEastAsia" w:eastAsiaTheme="minorEastAsia" w:hAnsiTheme="minorEastAsia" w:cs="宋体" w:hint="eastAsia"/>
          <w:color w:val="000000"/>
          <w:kern w:val="0"/>
          <w:sz w:val="22"/>
          <w:szCs w:val="22"/>
        </w:rPr>
        <w:t>虽然</w:t>
      </w:r>
      <w:r w:rsidR="001702C2">
        <w:rPr>
          <w:rFonts w:asciiTheme="minorEastAsia" w:eastAsiaTheme="minorEastAsia" w:hAnsiTheme="minorEastAsia" w:cs="宋体" w:hint="eastAsia"/>
          <w:color w:val="000000"/>
          <w:kern w:val="0"/>
          <w:sz w:val="22"/>
          <w:szCs w:val="22"/>
        </w:rPr>
        <w:t>房地产市场风险加大，</w:t>
      </w:r>
      <w:r w:rsidR="0073384C">
        <w:rPr>
          <w:rFonts w:asciiTheme="minorEastAsia" w:eastAsiaTheme="minorEastAsia" w:hAnsiTheme="minorEastAsia" w:cs="宋体" w:hint="eastAsia"/>
          <w:color w:val="000000"/>
          <w:kern w:val="0"/>
          <w:sz w:val="22"/>
          <w:szCs w:val="22"/>
        </w:rPr>
        <w:t>但是</w:t>
      </w:r>
      <w:r w:rsidR="0073384C" w:rsidRPr="004B278B">
        <w:rPr>
          <w:rFonts w:asciiTheme="minorEastAsia" w:eastAsiaTheme="minorEastAsia" w:hAnsiTheme="minorEastAsia" w:cs="宋体" w:hint="eastAsia"/>
          <w:color w:val="000000"/>
          <w:kern w:val="0"/>
          <w:sz w:val="22"/>
          <w:szCs w:val="22"/>
        </w:rPr>
        <w:t>今年政策面将整体偏积极。年初至今，除了出台加大基础设施投资的政策外，还出台了棚户区改造等政策。</w:t>
      </w:r>
      <w:r w:rsidR="00FD35A5">
        <w:rPr>
          <w:rFonts w:asciiTheme="minorEastAsia" w:eastAsiaTheme="minorEastAsia" w:hAnsiTheme="minorEastAsia" w:cs="宋体" w:hint="eastAsia"/>
          <w:color w:val="000000"/>
          <w:kern w:val="0"/>
          <w:sz w:val="22"/>
          <w:szCs w:val="22"/>
        </w:rPr>
        <w:t>政策面来说，对于房地产市场不必过分悲观，未来需密切关注楼市库存以及银行信贷情况</w:t>
      </w:r>
      <w:r w:rsidR="0073384C" w:rsidRPr="004B278B">
        <w:rPr>
          <w:rFonts w:asciiTheme="minorEastAsia" w:eastAsiaTheme="minorEastAsia" w:hAnsiTheme="minorEastAsia" w:cs="宋体" w:hint="eastAsia"/>
          <w:color w:val="000000"/>
          <w:kern w:val="0"/>
          <w:sz w:val="22"/>
          <w:szCs w:val="22"/>
        </w:rPr>
        <w:t>。</w:t>
      </w:r>
    </w:p>
    <w:p w:rsidR="00C74723" w:rsidRPr="002268AB" w:rsidRDefault="00C74723" w:rsidP="00C74723">
      <w:pPr>
        <w:pStyle w:val="a8"/>
        <w:keepNext/>
      </w:pPr>
      <w:r>
        <w:rPr>
          <w:rFonts w:hint="eastAsia"/>
        </w:rPr>
        <w:lastRenderedPageBreak/>
        <w:t>图表</w:t>
      </w:r>
      <w:r>
        <w:rPr>
          <w:rFonts w:hint="eastAsia"/>
        </w:rPr>
        <w:t xml:space="preserve"> 14 </w:t>
      </w:r>
      <w:r w:rsidRPr="007E22CF">
        <w:rPr>
          <w:rFonts w:hint="eastAsia"/>
        </w:rPr>
        <w:t>房地产开发投资数据</w:t>
      </w:r>
      <w:r>
        <w:rPr>
          <w:rFonts w:hint="eastAsia"/>
        </w:rPr>
        <w:t xml:space="preserve">                                </w:t>
      </w:r>
      <w:r>
        <w:rPr>
          <w:rFonts w:hint="eastAsia"/>
        </w:rPr>
        <w:t>图表</w:t>
      </w:r>
      <w:r>
        <w:rPr>
          <w:rFonts w:hint="eastAsia"/>
        </w:rPr>
        <w:t xml:space="preserve"> 15 </w:t>
      </w:r>
      <w:r w:rsidRPr="007E22CF">
        <w:rPr>
          <w:rFonts w:hint="eastAsia"/>
        </w:rPr>
        <w:t>百城住宅价格指数</w:t>
      </w:r>
    </w:p>
    <w:tbl>
      <w:tblPr>
        <w:tblW w:w="11442" w:type="dxa"/>
        <w:jc w:val="center"/>
        <w:tblInd w:w="1061" w:type="dxa"/>
        <w:tblBorders>
          <w:top w:val="single" w:sz="12" w:space="0" w:color="C0504D"/>
          <w:bottom w:val="single" w:sz="12" w:space="0" w:color="C0504D"/>
          <w:insideH w:val="single" w:sz="4" w:space="0" w:color="auto"/>
        </w:tblBorders>
        <w:tblLook w:val="04A0"/>
      </w:tblPr>
      <w:tblGrid>
        <w:gridCol w:w="5746"/>
        <w:gridCol w:w="5696"/>
      </w:tblGrid>
      <w:tr w:rsidR="00C74723" w:rsidTr="00D059D1">
        <w:trPr>
          <w:trHeight w:val="3969"/>
          <w:jc w:val="center"/>
        </w:trPr>
        <w:tc>
          <w:tcPr>
            <w:tcW w:w="5528" w:type="dxa"/>
          </w:tcPr>
          <w:p w:rsidR="00C74723" w:rsidRPr="008A2911" w:rsidRDefault="00C74723" w:rsidP="005B7449">
            <w:pPr>
              <w:tabs>
                <w:tab w:val="left" w:pos="1493"/>
              </w:tabs>
              <w:ind w:leftChars="-238" w:left="-500" w:rightChars="90" w:right="189" w:firstLineChars="153" w:firstLine="367"/>
              <w:jc w:val="right"/>
              <w:rPr>
                <w:rFonts w:ascii="宋体" w:cs="宋体"/>
                <w:color w:val="002C57"/>
                <w:kern w:val="0"/>
                <w:sz w:val="24"/>
              </w:rPr>
            </w:pPr>
            <w:r w:rsidRPr="005579C2">
              <w:rPr>
                <w:rFonts w:ascii="宋体" w:cs="宋体"/>
                <w:noProof/>
                <w:color w:val="002C57"/>
                <w:kern w:val="0"/>
                <w:sz w:val="24"/>
              </w:rPr>
              <w:drawing>
                <wp:inline distT="0" distB="0" distL="0" distR="0">
                  <wp:extent cx="3708806" cy="2487168"/>
                  <wp:effectExtent l="0" t="0" r="0" b="0"/>
                  <wp:docPr id="5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914" w:type="dxa"/>
          </w:tcPr>
          <w:p w:rsidR="00C74723" w:rsidRPr="009344A3" w:rsidRDefault="00C74723" w:rsidP="005B7449">
            <w:pPr>
              <w:ind w:rightChars="-90" w:right="-189"/>
              <w:jc w:val="center"/>
              <w:rPr>
                <w:rFonts w:ascii="宋体" w:cs="宋体"/>
                <w:color w:val="002C57"/>
                <w:kern w:val="0"/>
                <w:sz w:val="24"/>
                <w:lang w:val="zh-CN"/>
              </w:rPr>
            </w:pPr>
            <w:r w:rsidRPr="005B25DD">
              <w:rPr>
                <w:rFonts w:ascii="宋体" w:cs="宋体"/>
                <w:noProof/>
                <w:color w:val="002C57"/>
                <w:kern w:val="0"/>
                <w:sz w:val="24"/>
              </w:rPr>
              <w:drawing>
                <wp:inline distT="0" distB="0" distL="0" distR="0">
                  <wp:extent cx="3525926" cy="2472538"/>
                  <wp:effectExtent l="0" t="0" r="0" b="0"/>
                  <wp:docPr id="6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277BFD" w:rsidRDefault="00C74723" w:rsidP="00C74723">
      <w:pPr>
        <w:topLinePunct/>
        <w:adjustRightInd w:val="0"/>
        <w:snapToGrid w:val="0"/>
        <w:spacing w:line="300" w:lineRule="auto"/>
        <w:jc w:val="left"/>
        <w:rPr>
          <w:rFonts w:hAnsi="宋体"/>
          <w:bCs/>
          <w:color w:val="993300"/>
          <w:sz w:val="18"/>
          <w:szCs w:val="18"/>
        </w:rPr>
      </w:pPr>
      <w:r w:rsidRPr="00B038D1">
        <w:rPr>
          <w:rFonts w:hAnsi="宋体" w:hint="eastAsia"/>
          <w:bCs/>
          <w:color w:val="993300"/>
          <w:sz w:val="18"/>
          <w:szCs w:val="18"/>
        </w:rPr>
        <w:t>数据来源：</w:t>
      </w:r>
      <w:r>
        <w:rPr>
          <w:rFonts w:hAnsi="宋体" w:hint="eastAsia"/>
          <w:bCs/>
          <w:color w:val="993300"/>
          <w:sz w:val="18"/>
          <w:szCs w:val="18"/>
        </w:rPr>
        <w:t>WIND</w:t>
      </w:r>
      <w:r>
        <w:rPr>
          <w:rFonts w:hAnsi="宋体" w:hint="eastAsia"/>
          <w:bCs/>
          <w:color w:val="993300"/>
          <w:sz w:val="18"/>
          <w:szCs w:val="18"/>
        </w:rPr>
        <w:t>，</w:t>
      </w:r>
      <w:r w:rsidRPr="00B038D1">
        <w:rPr>
          <w:rFonts w:hAnsi="宋体" w:hint="eastAsia"/>
          <w:bCs/>
          <w:color w:val="993300"/>
          <w:sz w:val="18"/>
          <w:szCs w:val="18"/>
        </w:rPr>
        <w:t>金源期货</w:t>
      </w:r>
    </w:p>
    <w:p w:rsidR="00C84286" w:rsidRPr="00EB32FE" w:rsidRDefault="00C84286" w:rsidP="00EB32FE">
      <w:pPr>
        <w:spacing w:line="300" w:lineRule="auto"/>
        <w:ind w:firstLineChars="200" w:firstLine="440"/>
        <w:rPr>
          <w:rFonts w:asciiTheme="minorEastAsia" w:eastAsiaTheme="minorEastAsia" w:hAnsiTheme="minorEastAsia" w:cs="宋体"/>
          <w:color w:val="000000"/>
          <w:kern w:val="0"/>
          <w:sz w:val="22"/>
          <w:szCs w:val="22"/>
        </w:rPr>
      </w:pPr>
      <w:r w:rsidRPr="00EB32FE">
        <w:rPr>
          <w:rFonts w:asciiTheme="minorEastAsia" w:eastAsiaTheme="minorEastAsia" w:hAnsiTheme="minorEastAsia" w:cs="宋体" w:hint="eastAsia"/>
          <w:color w:val="000000"/>
          <w:kern w:val="0"/>
          <w:sz w:val="22"/>
          <w:szCs w:val="22"/>
        </w:rPr>
        <w:t>家电是我国镀锌板的重要应用领域之一，在冰箱、洗衣机和空调三大家电用钢量中，百分之四十以上是热镀锌板、电镀锌板和镀铝锌板。就统计数据来看，除</w:t>
      </w:r>
      <w:r w:rsidR="00AF4915">
        <w:rPr>
          <w:rFonts w:asciiTheme="minorEastAsia" w:eastAsiaTheme="minorEastAsia" w:hAnsiTheme="minorEastAsia" w:cs="宋体" w:hint="eastAsia"/>
          <w:color w:val="000000"/>
          <w:kern w:val="0"/>
          <w:sz w:val="22"/>
          <w:szCs w:val="22"/>
        </w:rPr>
        <w:t>电冰箱</w:t>
      </w:r>
      <w:r w:rsidRPr="00EB32FE">
        <w:rPr>
          <w:rFonts w:asciiTheme="minorEastAsia" w:eastAsiaTheme="minorEastAsia" w:hAnsiTheme="minorEastAsia" w:cs="宋体" w:hint="eastAsia"/>
          <w:color w:val="000000"/>
          <w:kern w:val="0"/>
          <w:sz w:val="22"/>
          <w:szCs w:val="22"/>
        </w:rPr>
        <w:t>产量小幅回落外，</w:t>
      </w:r>
      <w:r w:rsidR="00AF4915">
        <w:rPr>
          <w:rFonts w:asciiTheme="minorEastAsia" w:eastAsiaTheme="minorEastAsia" w:hAnsiTheme="minorEastAsia" w:cs="宋体" w:hint="eastAsia"/>
          <w:color w:val="000000"/>
          <w:kern w:val="0"/>
          <w:sz w:val="22"/>
          <w:szCs w:val="22"/>
        </w:rPr>
        <w:t>彩电</w:t>
      </w:r>
      <w:r w:rsidRPr="00EB32FE">
        <w:rPr>
          <w:rFonts w:asciiTheme="minorEastAsia" w:eastAsiaTheme="minorEastAsia" w:hAnsiTheme="minorEastAsia" w:cs="宋体" w:hint="eastAsia"/>
          <w:color w:val="000000"/>
          <w:kern w:val="0"/>
          <w:sz w:val="22"/>
          <w:szCs w:val="22"/>
        </w:rPr>
        <w:t>和空调</w:t>
      </w:r>
      <w:r w:rsidR="00AF4915">
        <w:rPr>
          <w:rFonts w:asciiTheme="minorEastAsia" w:eastAsiaTheme="minorEastAsia" w:hAnsiTheme="minorEastAsia" w:cs="宋体" w:hint="eastAsia"/>
          <w:color w:val="000000"/>
          <w:kern w:val="0"/>
          <w:sz w:val="22"/>
          <w:szCs w:val="22"/>
        </w:rPr>
        <w:t>产量4</w:t>
      </w:r>
      <w:r w:rsidRPr="00EB32FE">
        <w:rPr>
          <w:rFonts w:asciiTheme="minorEastAsia" w:eastAsiaTheme="minorEastAsia" w:hAnsiTheme="minorEastAsia" w:cs="宋体" w:hint="eastAsia"/>
          <w:color w:val="000000"/>
          <w:kern w:val="0"/>
          <w:sz w:val="22"/>
          <w:szCs w:val="22"/>
        </w:rPr>
        <w:t>月增速明显，且随着天气渐热，冰箱和空调销售旺季到来，家电需求的增加在一定程度上带动锌的需求。</w:t>
      </w:r>
    </w:p>
    <w:p w:rsidR="00623672" w:rsidRPr="002268AB" w:rsidRDefault="00623672" w:rsidP="00176B36">
      <w:pPr>
        <w:pStyle w:val="a8"/>
        <w:keepNext/>
        <w:jc w:val="left"/>
      </w:pPr>
      <w:r>
        <w:rPr>
          <w:rFonts w:hint="eastAsia"/>
        </w:rPr>
        <w:t>图表</w:t>
      </w:r>
      <w:r>
        <w:rPr>
          <w:rFonts w:hint="eastAsia"/>
        </w:rPr>
        <w:t xml:space="preserve"> 16</w:t>
      </w:r>
      <w:r w:rsidR="00176B36">
        <w:rPr>
          <w:rFonts w:hint="eastAsia"/>
        </w:rPr>
        <w:t xml:space="preserve">  </w:t>
      </w:r>
      <w:r w:rsidR="00176B36">
        <w:rPr>
          <w:rFonts w:hint="eastAsia"/>
        </w:rPr>
        <w:t>彩电</w:t>
      </w:r>
      <w:r w:rsidR="00277BFD">
        <w:rPr>
          <w:rFonts w:hint="eastAsia"/>
        </w:rPr>
        <w:t>生产</w:t>
      </w:r>
      <w:r w:rsidRPr="007E22CF">
        <w:rPr>
          <w:rFonts w:hint="eastAsia"/>
        </w:rPr>
        <w:t>数据</w:t>
      </w:r>
      <w:r w:rsidR="00176B36">
        <w:rPr>
          <w:rFonts w:hint="eastAsia"/>
        </w:rPr>
        <w:t xml:space="preserve">                                     </w:t>
      </w:r>
      <w:r w:rsidR="00176B36">
        <w:rPr>
          <w:rFonts w:hint="eastAsia"/>
        </w:rPr>
        <w:t>图表</w:t>
      </w:r>
      <w:r w:rsidR="00176B36">
        <w:rPr>
          <w:rFonts w:hint="eastAsia"/>
        </w:rPr>
        <w:t xml:space="preserve"> 17  </w:t>
      </w:r>
      <w:r w:rsidR="00176B36">
        <w:rPr>
          <w:rFonts w:hint="eastAsia"/>
        </w:rPr>
        <w:t>空调生产数据</w:t>
      </w:r>
    </w:p>
    <w:tbl>
      <w:tblPr>
        <w:tblW w:w="11442" w:type="dxa"/>
        <w:jc w:val="center"/>
        <w:tblInd w:w="1061" w:type="dxa"/>
        <w:tblBorders>
          <w:top w:val="single" w:sz="12" w:space="0" w:color="C0504D"/>
          <w:bottom w:val="single" w:sz="12" w:space="0" w:color="C0504D"/>
          <w:insideH w:val="single" w:sz="4" w:space="0" w:color="auto"/>
        </w:tblBorders>
        <w:tblLook w:val="04A0"/>
      </w:tblPr>
      <w:tblGrid>
        <w:gridCol w:w="5746"/>
        <w:gridCol w:w="5864"/>
      </w:tblGrid>
      <w:tr w:rsidR="00623672" w:rsidTr="00277BFD">
        <w:trPr>
          <w:trHeight w:val="3969"/>
          <w:jc w:val="center"/>
        </w:trPr>
        <w:tc>
          <w:tcPr>
            <w:tcW w:w="5528" w:type="dxa"/>
          </w:tcPr>
          <w:p w:rsidR="00623672" w:rsidRPr="008A2911" w:rsidRDefault="00623672" w:rsidP="00623672">
            <w:pPr>
              <w:tabs>
                <w:tab w:val="left" w:pos="1493"/>
              </w:tabs>
              <w:ind w:leftChars="-238" w:left="-500" w:rightChars="90" w:right="189" w:firstLineChars="153" w:firstLine="367"/>
              <w:jc w:val="right"/>
              <w:rPr>
                <w:rFonts w:ascii="宋体" w:cs="宋体"/>
                <w:color w:val="002C57"/>
                <w:kern w:val="0"/>
                <w:sz w:val="24"/>
              </w:rPr>
            </w:pPr>
            <w:r w:rsidRPr="00623672">
              <w:rPr>
                <w:rFonts w:ascii="宋体" w:cs="宋体"/>
                <w:noProof/>
                <w:color w:val="002C57"/>
                <w:kern w:val="0"/>
                <w:sz w:val="24"/>
              </w:rPr>
              <w:drawing>
                <wp:inline distT="0" distB="0" distL="0" distR="0">
                  <wp:extent cx="3708807" cy="2457907"/>
                  <wp:effectExtent l="0" t="0" r="0" b="0"/>
                  <wp:docPr id="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914" w:type="dxa"/>
          </w:tcPr>
          <w:p w:rsidR="00623672" w:rsidRPr="009344A3" w:rsidRDefault="00623672" w:rsidP="00277BFD">
            <w:pPr>
              <w:ind w:rightChars="-90" w:right="-189"/>
              <w:jc w:val="center"/>
              <w:rPr>
                <w:rFonts w:ascii="宋体" w:cs="宋体"/>
                <w:color w:val="002C57"/>
                <w:kern w:val="0"/>
                <w:sz w:val="24"/>
                <w:lang w:val="zh-CN"/>
              </w:rPr>
            </w:pPr>
            <w:r w:rsidRPr="00623672">
              <w:rPr>
                <w:rFonts w:ascii="宋体" w:cs="宋体"/>
                <w:noProof/>
                <w:color w:val="002C57"/>
                <w:kern w:val="0"/>
                <w:sz w:val="24"/>
              </w:rPr>
              <w:drawing>
                <wp:inline distT="0" distB="0" distL="0" distR="0">
                  <wp:extent cx="3705961" cy="2479853"/>
                  <wp:effectExtent l="0" t="0" r="0" b="0"/>
                  <wp:docPr id="2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623672" w:rsidRDefault="00623672" w:rsidP="00623672">
      <w:pPr>
        <w:topLinePunct/>
        <w:adjustRightInd w:val="0"/>
        <w:snapToGrid w:val="0"/>
        <w:spacing w:line="300" w:lineRule="auto"/>
        <w:jc w:val="left"/>
        <w:rPr>
          <w:rFonts w:hAnsi="宋体"/>
          <w:bCs/>
          <w:color w:val="993300"/>
          <w:sz w:val="18"/>
          <w:szCs w:val="18"/>
        </w:rPr>
      </w:pPr>
      <w:r w:rsidRPr="00B038D1">
        <w:rPr>
          <w:rFonts w:hAnsi="宋体" w:hint="eastAsia"/>
          <w:bCs/>
          <w:color w:val="993300"/>
          <w:sz w:val="18"/>
          <w:szCs w:val="18"/>
        </w:rPr>
        <w:t>数据来源：</w:t>
      </w:r>
      <w:r>
        <w:rPr>
          <w:rFonts w:hAnsi="宋体" w:hint="eastAsia"/>
          <w:bCs/>
          <w:color w:val="993300"/>
          <w:sz w:val="18"/>
          <w:szCs w:val="18"/>
        </w:rPr>
        <w:t>WIND</w:t>
      </w:r>
      <w:r>
        <w:rPr>
          <w:rFonts w:hAnsi="宋体" w:hint="eastAsia"/>
          <w:bCs/>
          <w:color w:val="993300"/>
          <w:sz w:val="18"/>
          <w:szCs w:val="18"/>
        </w:rPr>
        <w:t>，</w:t>
      </w:r>
      <w:r w:rsidRPr="00B038D1">
        <w:rPr>
          <w:rFonts w:hAnsi="宋体" w:hint="eastAsia"/>
          <w:bCs/>
          <w:color w:val="993300"/>
          <w:sz w:val="18"/>
          <w:szCs w:val="18"/>
        </w:rPr>
        <w:t>金源期货</w:t>
      </w:r>
    </w:p>
    <w:p w:rsidR="00623672" w:rsidRPr="00623672" w:rsidRDefault="00623672" w:rsidP="00C74723">
      <w:pPr>
        <w:topLinePunct/>
        <w:adjustRightInd w:val="0"/>
        <w:snapToGrid w:val="0"/>
        <w:spacing w:line="300" w:lineRule="auto"/>
        <w:jc w:val="left"/>
        <w:rPr>
          <w:rFonts w:hAnsi="宋体"/>
          <w:bCs/>
          <w:color w:val="993300"/>
          <w:sz w:val="18"/>
          <w:szCs w:val="18"/>
        </w:rPr>
      </w:pPr>
    </w:p>
    <w:p w:rsidR="00623672" w:rsidRPr="002268AB" w:rsidRDefault="00176B36" w:rsidP="00176B36">
      <w:pPr>
        <w:pStyle w:val="a8"/>
        <w:keepNext/>
        <w:jc w:val="left"/>
      </w:pPr>
      <w:r>
        <w:rPr>
          <w:rFonts w:hint="eastAsia"/>
        </w:rPr>
        <w:lastRenderedPageBreak/>
        <w:t>图表</w:t>
      </w:r>
      <w:r>
        <w:rPr>
          <w:rFonts w:hint="eastAsia"/>
        </w:rPr>
        <w:t xml:space="preserve"> 18  </w:t>
      </w:r>
      <w:r>
        <w:rPr>
          <w:rFonts w:hint="eastAsia"/>
        </w:rPr>
        <w:t>电冰箱生产数据</w:t>
      </w:r>
      <w:r w:rsidR="00D327C1">
        <w:rPr>
          <w:rFonts w:hint="eastAsia"/>
        </w:rPr>
        <w:t xml:space="preserve">                                   </w:t>
      </w:r>
      <w:r w:rsidR="00C031FD">
        <w:rPr>
          <w:rFonts w:hint="eastAsia"/>
        </w:rPr>
        <w:t xml:space="preserve">  </w:t>
      </w:r>
      <w:r w:rsidR="00D327C1">
        <w:rPr>
          <w:rFonts w:hint="eastAsia"/>
        </w:rPr>
        <w:t>图表</w:t>
      </w:r>
      <w:r w:rsidR="00D327C1">
        <w:rPr>
          <w:rFonts w:hint="eastAsia"/>
        </w:rPr>
        <w:t xml:space="preserve"> 19  </w:t>
      </w:r>
      <w:r w:rsidR="00D327C1">
        <w:rPr>
          <w:rFonts w:hint="eastAsia"/>
        </w:rPr>
        <w:t>洗衣机生产数据</w:t>
      </w:r>
    </w:p>
    <w:tbl>
      <w:tblPr>
        <w:tblW w:w="11442" w:type="dxa"/>
        <w:jc w:val="center"/>
        <w:tblInd w:w="1061" w:type="dxa"/>
        <w:tblBorders>
          <w:top w:val="single" w:sz="12" w:space="0" w:color="C0504D"/>
          <w:bottom w:val="single" w:sz="12" w:space="0" w:color="C0504D"/>
          <w:insideH w:val="single" w:sz="4" w:space="0" w:color="auto"/>
        </w:tblBorders>
        <w:tblLook w:val="04A0"/>
      </w:tblPr>
      <w:tblGrid>
        <w:gridCol w:w="5935"/>
        <w:gridCol w:w="5655"/>
      </w:tblGrid>
      <w:tr w:rsidR="00623672" w:rsidTr="00277BFD">
        <w:trPr>
          <w:trHeight w:val="3969"/>
          <w:jc w:val="center"/>
        </w:trPr>
        <w:tc>
          <w:tcPr>
            <w:tcW w:w="5528" w:type="dxa"/>
          </w:tcPr>
          <w:p w:rsidR="00623672" w:rsidRPr="008A2911" w:rsidRDefault="00176B36" w:rsidP="00176B36">
            <w:pPr>
              <w:tabs>
                <w:tab w:val="left" w:pos="1493"/>
              </w:tabs>
              <w:ind w:leftChars="-238" w:left="-500" w:rightChars="90" w:right="189" w:firstLineChars="153" w:firstLine="367"/>
              <w:jc w:val="right"/>
              <w:rPr>
                <w:rFonts w:ascii="宋体" w:cs="宋体"/>
                <w:color w:val="002C57"/>
                <w:kern w:val="0"/>
                <w:sz w:val="24"/>
              </w:rPr>
            </w:pPr>
            <w:r w:rsidRPr="00176B36">
              <w:rPr>
                <w:rFonts w:ascii="宋体" w:cs="宋体"/>
                <w:noProof/>
                <w:color w:val="002C57"/>
                <w:kern w:val="0"/>
                <w:sz w:val="24"/>
              </w:rPr>
              <w:drawing>
                <wp:inline distT="0" distB="0" distL="0" distR="0">
                  <wp:extent cx="3828746" cy="2465223"/>
                  <wp:effectExtent l="0" t="0" r="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914" w:type="dxa"/>
          </w:tcPr>
          <w:p w:rsidR="00623672" w:rsidRPr="009344A3" w:rsidRDefault="00176B36" w:rsidP="00277BFD">
            <w:pPr>
              <w:ind w:rightChars="-90" w:right="-189"/>
              <w:jc w:val="center"/>
              <w:rPr>
                <w:rFonts w:ascii="宋体" w:cs="宋体"/>
                <w:color w:val="002C57"/>
                <w:kern w:val="0"/>
                <w:sz w:val="24"/>
                <w:lang w:val="zh-CN"/>
              </w:rPr>
            </w:pPr>
            <w:r w:rsidRPr="00176B36">
              <w:rPr>
                <w:rFonts w:ascii="宋体" w:cs="宋体"/>
                <w:noProof/>
                <w:color w:val="002C57"/>
                <w:kern w:val="0"/>
                <w:sz w:val="24"/>
              </w:rPr>
              <w:drawing>
                <wp:inline distT="0" distB="0" distL="0" distR="0">
                  <wp:extent cx="3573679" cy="2523744"/>
                  <wp:effectExtent l="0" t="0" r="0" b="0"/>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CF48CB" w:rsidRPr="00623672" w:rsidRDefault="00623672" w:rsidP="00C74723">
      <w:pPr>
        <w:topLinePunct/>
        <w:adjustRightInd w:val="0"/>
        <w:snapToGrid w:val="0"/>
        <w:spacing w:line="300" w:lineRule="auto"/>
        <w:jc w:val="left"/>
        <w:rPr>
          <w:rFonts w:hAnsi="宋体"/>
          <w:bCs/>
          <w:color w:val="993300"/>
          <w:sz w:val="18"/>
          <w:szCs w:val="18"/>
        </w:rPr>
      </w:pPr>
      <w:r w:rsidRPr="00B038D1">
        <w:rPr>
          <w:rFonts w:hAnsi="宋体" w:hint="eastAsia"/>
          <w:bCs/>
          <w:color w:val="993300"/>
          <w:sz w:val="18"/>
          <w:szCs w:val="18"/>
        </w:rPr>
        <w:t>数据来源：</w:t>
      </w:r>
      <w:r>
        <w:rPr>
          <w:rFonts w:hAnsi="宋体" w:hint="eastAsia"/>
          <w:bCs/>
          <w:color w:val="993300"/>
          <w:sz w:val="18"/>
          <w:szCs w:val="18"/>
        </w:rPr>
        <w:t>WIND</w:t>
      </w:r>
      <w:r>
        <w:rPr>
          <w:rFonts w:hAnsi="宋体" w:hint="eastAsia"/>
          <w:bCs/>
          <w:color w:val="993300"/>
          <w:sz w:val="18"/>
          <w:szCs w:val="18"/>
        </w:rPr>
        <w:t>，</w:t>
      </w:r>
      <w:r w:rsidRPr="00B038D1">
        <w:rPr>
          <w:rFonts w:hAnsi="宋体" w:hint="eastAsia"/>
          <w:bCs/>
          <w:color w:val="993300"/>
          <w:sz w:val="18"/>
          <w:szCs w:val="18"/>
        </w:rPr>
        <w:t>金源期货</w:t>
      </w:r>
    </w:p>
    <w:p w:rsidR="009034D9" w:rsidRPr="0021792B" w:rsidRDefault="009034D9" w:rsidP="0021792B">
      <w:pPr>
        <w:pStyle w:val="1"/>
        <w:spacing w:line="480" w:lineRule="auto"/>
        <w:rPr>
          <w:rFonts w:ascii="宋体" w:hAnsi="宋体"/>
          <w:color w:val="993300"/>
          <w:sz w:val="32"/>
          <w:szCs w:val="32"/>
        </w:rPr>
      </w:pPr>
      <w:bookmarkStart w:id="151" w:name="_Toc340436173"/>
      <w:bookmarkStart w:id="152" w:name="_Toc389830955"/>
      <w:r w:rsidRPr="0021792B">
        <w:rPr>
          <w:rFonts w:ascii="宋体" w:hAnsi="宋体"/>
          <w:color w:val="993300"/>
          <w:sz w:val="32"/>
          <w:szCs w:val="32"/>
        </w:rPr>
        <w:t>第</w:t>
      </w:r>
      <w:r w:rsidRPr="0021792B">
        <w:rPr>
          <w:rFonts w:ascii="宋体" w:hAnsi="宋体" w:hint="eastAsia"/>
          <w:color w:val="993300"/>
          <w:sz w:val="32"/>
          <w:szCs w:val="32"/>
        </w:rPr>
        <w:t>三</w:t>
      </w:r>
      <w:r w:rsidRPr="0021792B">
        <w:rPr>
          <w:rFonts w:ascii="宋体" w:hAnsi="宋体"/>
          <w:color w:val="993300"/>
          <w:sz w:val="32"/>
          <w:szCs w:val="32"/>
        </w:rPr>
        <w:t>部分</w:t>
      </w:r>
      <w:r w:rsidRPr="0021792B">
        <w:rPr>
          <w:rFonts w:ascii="宋体" w:hAnsi="宋体"/>
          <w:color w:val="993300"/>
          <w:sz w:val="32"/>
          <w:szCs w:val="32"/>
        </w:rPr>
        <w:tab/>
      </w:r>
      <w:r w:rsidRPr="0021792B">
        <w:rPr>
          <w:rFonts w:ascii="宋体" w:hAnsi="宋体"/>
          <w:color w:val="993300"/>
          <w:sz w:val="32"/>
          <w:szCs w:val="32"/>
        </w:rPr>
        <w:tab/>
      </w:r>
      <w:r w:rsidRPr="0021792B">
        <w:rPr>
          <w:rFonts w:ascii="宋体" w:hAnsi="宋体" w:hint="eastAsia"/>
          <w:color w:val="993300"/>
          <w:sz w:val="32"/>
          <w:szCs w:val="32"/>
        </w:rPr>
        <w:t>铅基本面分析</w:t>
      </w:r>
      <w:bookmarkEnd w:id="151"/>
      <w:bookmarkEnd w:id="152"/>
      <w:r w:rsidRPr="0021792B">
        <w:rPr>
          <w:rFonts w:ascii="宋体" w:hAnsi="宋体"/>
          <w:color w:val="993300"/>
          <w:sz w:val="32"/>
          <w:szCs w:val="32"/>
        </w:rPr>
        <w:t xml:space="preserve"> </w:t>
      </w:r>
    </w:p>
    <w:p w:rsidR="009034D9" w:rsidRPr="0021792B" w:rsidRDefault="00AA3FD1" w:rsidP="00663B25">
      <w:pPr>
        <w:pStyle w:val="3"/>
        <w:numPr>
          <w:ilvl w:val="0"/>
          <w:numId w:val="26"/>
        </w:numPr>
        <w:spacing w:line="360" w:lineRule="auto"/>
        <w:rPr>
          <w:rFonts w:ascii="宋体" w:hAnsi="宋体"/>
          <w:color w:val="993300"/>
          <w:sz w:val="21"/>
          <w:szCs w:val="21"/>
        </w:rPr>
      </w:pPr>
      <w:bookmarkStart w:id="153" w:name="_Toc340436174"/>
      <w:bookmarkStart w:id="154" w:name="_Toc389830956"/>
      <w:r>
        <w:rPr>
          <w:rFonts w:ascii="宋体" w:hAnsi="宋体" w:hint="eastAsia"/>
          <w:color w:val="993300"/>
          <w:sz w:val="21"/>
          <w:szCs w:val="21"/>
        </w:rPr>
        <w:t>全球精炼铅市场</w:t>
      </w:r>
      <w:bookmarkEnd w:id="153"/>
      <w:r w:rsidR="00A740C0">
        <w:rPr>
          <w:rFonts w:ascii="宋体" w:hAnsi="宋体" w:hint="eastAsia"/>
          <w:color w:val="993300"/>
          <w:sz w:val="21"/>
          <w:szCs w:val="21"/>
        </w:rPr>
        <w:t>延续供应偏紧格局</w:t>
      </w:r>
      <w:bookmarkEnd w:id="154"/>
    </w:p>
    <w:p w:rsidR="00BE1805" w:rsidRDefault="00A41198" w:rsidP="000137B6">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一季度是全球矿山生产的淡季，一方面受寒冷天气影响，另一方面全球铅精矿生产大国中国由于元旦、春节等传统假期影响拖累该季度矿山的产量。</w:t>
      </w:r>
      <w:r w:rsidR="000137B6" w:rsidRPr="000137B6">
        <w:rPr>
          <w:rFonts w:asciiTheme="minorEastAsia" w:eastAsiaTheme="minorEastAsia" w:hAnsiTheme="minorEastAsia" w:cs="宋体"/>
          <w:color w:val="000000"/>
          <w:kern w:val="0"/>
          <w:sz w:val="22"/>
          <w:szCs w:val="22"/>
        </w:rPr>
        <w:t>世界</w:t>
      </w:r>
      <w:hyperlink r:id="rId32" w:tgtFrame="_blank" w:tooltip="金属" w:history="1">
        <w:r w:rsidR="000137B6" w:rsidRPr="000137B6">
          <w:rPr>
            <w:rFonts w:asciiTheme="minorEastAsia" w:eastAsiaTheme="minorEastAsia" w:hAnsiTheme="minorEastAsia" w:cs="宋体"/>
            <w:color w:val="000000"/>
            <w:kern w:val="0"/>
            <w:sz w:val="22"/>
            <w:szCs w:val="22"/>
          </w:rPr>
          <w:t>金属</w:t>
        </w:r>
      </w:hyperlink>
      <w:r w:rsidR="000137B6" w:rsidRPr="000137B6">
        <w:rPr>
          <w:rFonts w:asciiTheme="minorEastAsia" w:eastAsiaTheme="minorEastAsia" w:hAnsiTheme="minorEastAsia" w:cs="宋体"/>
          <w:color w:val="000000"/>
          <w:kern w:val="0"/>
          <w:sz w:val="22"/>
          <w:szCs w:val="22"/>
        </w:rPr>
        <w:t>统计局</w:t>
      </w:r>
      <w:r w:rsidR="00DE2BDA">
        <w:rPr>
          <w:rFonts w:asciiTheme="minorEastAsia" w:eastAsiaTheme="minorEastAsia" w:hAnsiTheme="minorEastAsia" w:cs="宋体" w:hint="eastAsia"/>
          <w:color w:val="000000"/>
          <w:kern w:val="0"/>
          <w:sz w:val="22"/>
          <w:szCs w:val="22"/>
        </w:rPr>
        <w:t>（</w:t>
      </w:r>
      <w:r w:rsidR="00DE2BDA">
        <w:rPr>
          <w:rFonts w:asciiTheme="minorEastAsia" w:eastAsiaTheme="minorEastAsia" w:hAnsiTheme="minorEastAsia" w:cs="宋体"/>
          <w:color w:val="000000"/>
          <w:kern w:val="0"/>
          <w:sz w:val="22"/>
          <w:szCs w:val="22"/>
        </w:rPr>
        <w:t>WBMS</w:t>
      </w:r>
      <w:r w:rsidR="00DE2BDA">
        <w:rPr>
          <w:rFonts w:asciiTheme="minorEastAsia" w:eastAsiaTheme="minorEastAsia" w:hAnsiTheme="minorEastAsia" w:cs="宋体" w:hint="eastAsia"/>
          <w:color w:val="000000"/>
          <w:kern w:val="0"/>
          <w:sz w:val="22"/>
          <w:szCs w:val="22"/>
        </w:rPr>
        <w:t>）</w:t>
      </w:r>
      <w:r w:rsidR="000137B6" w:rsidRPr="000137B6">
        <w:rPr>
          <w:rFonts w:asciiTheme="minorEastAsia" w:eastAsiaTheme="minorEastAsia" w:hAnsiTheme="minorEastAsia" w:cs="宋体" w:hint="eastAsia"/>
          <w:color w:val="000000"/>
          <w:kern w:val="0"/>
          <w:sz w:val="22"/>
          <w:szCs w:val="22"/>
        </w:rPr>
        <w:t>最新</w:t>
      </w:r>
      <w:r w:rsidR="000137B6" w:rsidRPr="000137B6">
        <w:rPr>
          <w:rFonts w:asciiTheme="minorEastAsia" w:eastAsiaTheme="minorEastAsia" w:hAnsiTheme="minorEastAsia" w:cs="宋体"/>
          <w:color w:val="000000"/>
          <w:kern w:val="0"/>
          <w:sz w:val="22"/>
          <w:szCs w:val="22"/>
        </w:rPr>
        <w:t>公布的报告显示，2014年1-3月全球铅市供应缺口4.5万吨，2013年</w:t>
      </w:r>
      <w:r w:rsidR="00BE1805">
        <w:rPr>
          <w:rFonts w:asciiTheme="minorEastAsia" w:eastAsiaTheme="minorEastAsia" w:hAnsiTheme="minorEastAsia" w:cs="宋体" w:hint="eastAsia"/>
          <w:color w:val="000000"/>
          <w:kern w:val="0"/>
          <w:sz w:val="22"/>
          <w:szCs w:val="22"/>
        </w:rPr>
        <w:t>同期</w:t>
      </w:r>
      <w:r w:rsidR="000137B6" w:rsidRPr="000137B6">
        <w:rPr>
          <w:rFonts w:asciiTheme="minorEastAsia" w:eastAsiaTheme="minorEastAsia" w:hAnsiTheme="minorEastAsia" w:cs="宋体"/>
          <w:color w:val="000000"/>
          <w:kern w:val="0"/>
          <w:sz w:val="22"/>
          <w:szCs w:val="22"/>
        </w:rPr>
        <w:t>短缺</w:t>
      </w:r>
      <w:r w:rsidR="00BE1805">
        <w:rPr>
          <w:rFonts w:asciiTheme="minorEastAsia" w:eastAsiaTheme="minorEastAsia" w:hAnsiTheme="minorEastAsia" w:cs="宋体" w:hint="eastAsia"/>
          <w:color w:val="000000"/>
          <w:kern w:val="0"/>
          <w:sz w:val="22"/>
          <w:szCs w:val="22"/>
        </w:rPr>
        <w:t>14.57</w:t>
      </w:r>
      <w:r w:rsidR="000137B6">
        <w:rPr>
          <w:rFonts w:asciiTheme="minorEastAsia" w:eastAsiaTheme="minorEastAsia" w:hAnsiTheme="minorEastAsia" w:cs="宋体"/>
          <w:color w:val="000000"/>
          <w:kern w:val="0"/>
          <w:sz w:val="22"/>
          <w:szCs w:val="22"/>
        </w:rPr>
        <w:t>万吨</w:t>
      </w:r>
      <w:r w:rsidR="00BE1805">
        <w:rPr>
          <w:rFonts w:asciiTheme="minorEastAsia" w:eastAsiaTheme="minorEastAsia" w:hAnsiTheme="minorEastAsia" w:cs="宋体" w:hint="eastAsia"/>
          <w:color w:val="000000"/>
          <w:kern w:val="0"/>
          <w:sz w:val="22"/>
          <w:szCs w:val="22"/>
        </w:rPr>
        <w:t>。由左下方的图可以看出，进入2014年以来全球铅市短缺情况明显好转，短缺数量减少，但依旧处于供应偏紧的格局中</w:t>
      </w:r>
      <w:r w:rsidR="000137B6">
        <w:rPr>
          <w:rFonts w:asciiTheme="minorEastAsia" w:eastAsiaTheme="minorEastAsia" w:hAnsiTheme="minorEastAsia" w:cs="宋体" w:hint="eastAsia"/>
          <w:color w:val="000000"/>
          <w:kern w:val="0"/>
          <w:sz w:val="22"/>
          <w:szCs w:val="22"/>
        </w:rPr>
        <w:t>。</w:t>
      </w:r>
      <w:r w:rsidR="00FA768E">
        <w:rPr>
          <w:rFonts w:asciiTheme="minorEastAsia" w:eastAsiaTheme="minorEastAsia" w:hAnsiTheme="minorEastAsia" w:cs="宋体" w:hint="eastAsia"/>
          <w:color w:val="000000"/>
          <w:kern w:val="0"/>
          <w:sz w:val="22"/>
          <w:szCs w:val="22"/>
        </w:rPr>
        <w:t>我们分析认为，短缺情况好转主要是收到全球多数地区消费量的下滑或增幅不大的影响，而产量增幅并不显著。</w:t>
      </w:r>
    </w:p>
    <w:p w:rsidR="000137B6" w:rsidRDefault="00BE1805" w:rsidP="001430D4">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另据</w:t>
      </w:r>
      <w:r w:rsidR="000137B6" w:rsidRPr="000137B6">
        <w:rPr>
          <w:rFonts w:asciiTheme="minorEastAsia" w:eastAsiaTheme="minorEastAsia" w:hAnsiTheme="minorEastAsia" w:cs="宋体" w:hint="eastAsia"/>
          <w:color w:val="000000"/>
          <w:kern w:val="0"/>
          <w:sz w:val="22"/>
          <w:szCs w:val="22"/>
        </w:rPr>
        <w:t>国际铅锌研究小组（ILZSG）最新公布</w:t>
      </w:r>
      <w:r w:rsidR="00F67C53">
        <w:rPr>
          <w:rFonts w:asciiTheme="minorEastAsia" w:eastAsiaTheme="minorEastAsia" w:hAnsiTheme="minorEastAsia" w:cs="宋体" w:hint="eastAsia"/>
          <w:color w:val="000000"/>
          <w:kern w:val="0"/>
          <w:sz w:val="22"/>
          <w:szCs w:val="22"/>
        </w:rPr>
        <w:t>的数据</w:t>
      </w:r>
      <w:r w:rsidR="000137B6" w:rsidRPr="000137B6">
        <w:rPr>
          <w:rFonts w:asciiTheme="minorEastAsia" w:eastAsiaTheme="minorEastAsia" w:hAnsiTheme="minorEastAsia" w:cs="宋体" w:hint="eastAsia"/>
          <w:color w:val="000000"/>
          <w:kern w:val="0"/>
          <w:sz w:val="22"/>
          <w:szCs w:val="22"/>
        </w:rPr>
        <w:t>，2014年</w:t>
      </w:r>
      <w:r w:rsidR="00F67C53">
        <w:rPr>
          <w:rFonts w:asciiTheme="minorEastAsia" w:eastAsiaTheme="minorEastAsia" w:hAnsiTheme="minorEastAsia" w:cs="宋体" w:hint="eastAsia"/>
          <w:color w:val="000000"/>
          <w:kern w:val="0"/>
          <w:sz w:val="22"/>
          <w:szCs w:val="22"/>
        </w:rPr>
        <w:t>3月全球铅矿产量为45万吨，</w:t>
      </w:r>
      <w:r w:rsidR="001430D4">
        <w:rPr>
          <w:rFonts w:asciiTheme="minorEastAsia" w:eastAsiaTheme="minorEastAsia" w:hAnsiTheme="minorEastAsia" w:cs="宋体" w:hint="eastAsia"/>
          <w:color w:val="000000"/>
          <w:kern w:val="0"/>
          <w:sz w:val="22"/>
          <w:szCs w:val="22"/>
        </w:rPr>
        <w:t>与去年同期的45.36万吨相差不大，今年</w:t>
      </w:r>
      <w:r w:rsidR="000137B6" w:rsidRPr="000137B6">
        <w:rPr>
          <w:rFonts w:asciiTheme="minorEastAsia" w:eastAsiaTheme="minorEastAsia" w:hAnsiTheme="minorEastAsia" w:cs="宋体" w:hint="eastAsia"/>
          <w:color w:val="000000"/>
          <w:kern w:val="0"/>
          <w:sz w:val="22"/>
          <w:szCs w:val="22"/>
        </w:rPr>
        <w:t>1-3</w:t>
      </w:r>
      <w:r w:rsidR="00A2731E">
        <w:rPr>
          <w:rFonts w:asciiTheme="minorEastAsia" w:eastAsiaTheme="minorEastAsia" w:hAnsiTheme="minorEastAsia" w:cs="宋体" w:hint="eastAsia"/>
          <w:color w:val="000000"/>
          <w:kern w:val="0"/>
          <w:sz w:val="22"/>
          <w:szCs w:val="22"/>
        </w:rPr>
        <w:t>月</w:t>
      </w:r>
      <w:r w:rsidR="00F67C53">
        <w:rPr>
          <w:rFonts w:asciiTheme="minorEastAsia" w:eastAsiaTheme="minorEastAsia" w:hAnsiTheme="minorEastAsia" w:cs="宋体" w:hint="eastAsia"/>
          <w:color w:val="000000"/>
          <w:kern w:val="0"/>
          <w:sz w:val="22"/>
          <w:szCs w:val="22"/>
        </w:rPr>
        <w:t>全球铅矿产量达到116.12万吨。</w:t>
      </w:r>
      <w:r w:rsidR="001430D4">
        <w:rPr>
          <w:rFonts w:asciiTheme="minorEastAsia" w:eastAsiaTheme="minorEastAsia" w:hAnsiTheme="minorEastAsia" w:cs="宋体" w:hint="eastAsia"/>
          <w:color w:val="000000"/>
          <w:kern w:val="0"/>
          <w:sz w:val="22"/>
          <w:szCs w:val="22"/>
        </w:rPr>
        <w:t>数据还显示，</w:t>
      </w:r>
      <w:r w:rsidR="00F67C53" w:rsidRPr="000137B6">
        <w:rPr>
          <w:rFonts w:asciiTheme="minorEastAsia" w:eastAsiaTheme="minorEastAsia" w:hAnsiTheme="minorEastAsia" w:cs="宋体" w:hint="eastAsia"/>
          <w:color w:val="000000"/>
          <w:kern w:val="0"/>
          <w:sz w:val="22"/>
          <w:szCs w:val="22"/>
        </w:rPr>
        <w:t>1-3月精炼铅总产量达到262.1万吨，消费量为263.1万吨。</w:t>
      </w:r>
      <w:r w:rsidR="004F5F24">
        <w:rPr>
          <w:rFonts w:asciiTheme="minorEastAsia" w:eastAsiaTheme="minorEastAsia" w:hAnsiTheme="minorEastAsia" w:cs="宋体" w:hint="eastAsia"/>
          <w:color w:val="000000"/>
          <w:kern w:val="0"/>
          <w:sz w:val="22"/>
          <w:szCs w:val="22"/>
        </w:rPr>
        <w:t>1-3月</w:t>
      </w:r>
      <w:r w:rsidR="000137B6" w:rsidRPr="000137B6">
        <w:rPr>
          <w:rFonts w:asciiTheme="minorEastAsia" w:eastAsiaTheme="minorEastAsia" w:hAnsiTheme="minorEastAsia" w:cs="宋体" w:hint="eastAsia"/>
          <w:color w:val="000000"/>
          <w:kern w:val="0"/>
          <w:sz w:val="22"/>
          <w:szCs w:val="22"/>
        </w:rPr>
        <w:t>全球</w:t>
      </w:r>
      <w:r w:rsidR="004F5F24">
        <w:rPr>
          <w:rFonts w:asciiTheme="minorEastAsia" w:eastAsiaTheme="minorEastAsia" w:hAnsiTheme="minorEastAsia" w:cs="宋体" w:hint="eastAsia"/>
          <w:color w:val="000000"/>
          <w:kern w:val="0"/>
          <w:sz w:val="22"/>
          <w:szCs w:val="22"/>
        </w:rPr>
        <w:t>精炼铅</w:t>
      </w:r>
      <w:r w:rsidR="000137B6" w:rsidRPr="000137B6">
        <w:rPr>
          <w:rFonts w:asciiTheme="minorEastAsia" w:eastAsiaTheme="minorEastAsia" w:hAnsiTheme="minorEastAsia" w:cs="宋体" w:hint="eastAsia"/>
          <w:color w:val="000000"/>
          <w:kern w:val="0"/>
          <w:sz w:val="22"/>
          <w:szCs w:val="22"/>
        </w:rPr>
        <w:t>市场供应短缺1</w:t>
      </w:r>
      <w:r w:rsidR="000137B6">
        <w:rPr>
          <w:rFonts w:asciiTheme="minorEastAsia" w:eastAsiaTheme="minorEastAsia" w:hAnsiTheme="minorEastAsia" w:cs="宋体" w:hint="eastAsia"/>
          <w:color w:val="000000"/>
          <w:kern w:val="0"/>
          <w:sz w:val="22"/>
          <w:szCs w:val="22"/>
        </w:rPr>
        <w:t>万</w:t>
      </w:r>
      <w:r w:rsidR="000137B6" w:rsidRPr="000137B6">
        <w:rPr>
          <w:rFonts w:asciiTheme="minorEastAsia" w:eastAsiaTheme="minorEastAsia" w:hAnsiTheme="minorEastAsia" w:cs="宋体" w:hint="eastAsia"/>
          <w:color w:val="000000"/>
          <w:kern w:val="0"/>
          <w:sz w:val="22"/>
          <w:szCs w:val="22"/>
        </w:rPr>
        <w:t>吨</w:t>
      </w:r>
      <w:r w:rsidR="00A2731E">
        <w:rPr>
          <w:rFonts w:asciiTheme="minorEastAsia" w:eastAsiaTheme="minorEastAsia" w:hAnsiTheme="minorEastAsia" w:cs="宋体" w:hint="eastAsia"/>
          <w:color w:val="000000"/>
          <w:kern w:val="0"/>
          <w:sz w:val="22"/>
          <w:szCs w:val="22"/>
        </w:rPr>
        <w:t>，</w:t>
      </w:r>
      <w:r w:rsidR="000137B6" w:rsidRPr="000137B6">
        <w:rPr>
          <w:rFonts w:asciiTheme="minorEastAsia" w:eastAsiaTheme="minorEastAsia" w:hAnsiTheme="minorEastAsia" w:cs="宋体" w:hint="eastAsia"/>
          <w:color w:val="000000"/>
          <w:kern w:val="0"/>
          <w:sz w:val="22"/>
          <w:szCs w:val="22"/>
        </w:rPr>
        <w:t>2013年同期供应短缺量为2</w:t>
      </w:r>
      <w:r w:rsidR="000137B6">
        <w:rPr>
          <w:rFonts w:asciiTheme="minorEastAsia" w:eastAsiaTheme="minorEastAsia" w:hAnsiTheme="minorEastAsia" w:cs="宋体" w:hint="eastAsia"/>
          <w:color w:val="000000"/>
          <w:kern w:val="0"/>
          <w:sz w:val="22"/>
          <w:szCs w:val="22"/>
        </w:rPr>
        <w:t>.1万</w:t>
      </w:r>
      <w:r w:rsidR="000137B6" w:rsidRPr="000137B6">
        <w:rPr>
          <w:rFonts w:asciiTheme="minorEastAsia" w:eastAsiaTheme="minorEastAsia" w:hAnsiTheme="minorEastAsia" w:cs="宋体" w:hint="eastAsia"/>
          <w:color w:val="000000"/>
          <w:kern w:val="0"/>
          <w:sz w:val="22"/>
          <w:szCs w:val="22"/>
        </w:rPr>
        <w:t>吨。</w:t>
      </w:r>
    </w:p>
    <w:p w:rsidR="004A527B" w:rsidRPr="00DA2A0C" w:rsidRDefault="004A527B" w:rsidP="004A527B">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总体看来，</w:t>
      </w:r>
      <w:r w:rsidRPr="006067F8">
        <w:rPr>
          <w:rFonts w:asciiTheme="minorEastAsia" w:eastAsiaTheme="minorEastAsia" w:hAnsiTheme="minorEastAsia" w:cs="宋体" w:hint="eastAsia"/>
          <w:color w:val="000000"/>
          <w:kern w:val="0"/>
          <w:sz w:val="22"/>
          <w:szCs w:val="22"/>
        </w:rPr>
        <w:t>全球精铅市场整体</w:t>
      </w:r>
      <w:r>
        <w:rPr>
          <w:rFonts w:asciiTheme="minorEastAsia" w:eastAsiaTheme="minorEastAsia" w:hAnsiTheme="minorEastAsia" w:cs="宋体" w:hint="eastAsia"/>
          <w:color w:val="000000"/>
          <w:kern w:val="0"/>
          <w:sz w:val="22"/>
          <w:szCs w:val="22"/>
        </w:rPr>
        <w:t>延续</w:t>
      </w:r>
      <w:r w:rsidR="004F5F24">
        <w:rPr>
          <w:rFonts w:asciiTheme="minorEastAsia" w:eastAsiaTheme="minorEastAsia" w:hAnsiTheme="minorEastAsia" w:cs="宋体" w:hint="eastAsia"/>
          <w:color w:val="000000"/>
          <w:kern w:val="0"/>
          <w:sz w:val="22"/>
          <w:szCs w:val="22"/>
        </w:rPr>
        <w:t>供应偏紧</w:t>
      </w:r>
      <w:r>
        <w:rPr>
          <w:rFonts w:asciiTheme="minorEastAsia" w:eastAsiaTheme="minorEastAsia" w:hAnsiTheme="minorEastAsia" w:cs="宋体" w:hint="eastAsia"/>
          <w:color w:val="000000"/>
          <w:kern w:val="0"/>
          <w:sz w:val="22"/>
          <w:szCs w:val="22"/>
        </w:rPr>
        <w:t>格局</w:t>
      </w:r>
      <w:r w:rsidRPr="006067F8">
        <w:rPr>
          <w:rFonts w:asciiTheme="minorEastAsia" w:eastAsiaTheme="minorEastAsia" w:hAnsiTheme="minorEastAsia" w:cs="宋体" w:hint="eastAsia"/>
          <w:color w:val="000000"/>
          <w:kern w:val="0"/>
          <w:sz w:val="22"/>
          <w:szCs w:val="22"/>
        </w:rPr>
        <w:t>，</w:t>
      </w:r>
      <w:r w:rsidR="004F5F24">
        <w:rPr>
          <w:rFonts w:asciiTheme="minorEastAsia" w:eastAsiaTheme="minorEastAsia" w:hAnsiTheme="minorEastAsia" w:cs="宋体" w:hint="eastAsia"/>
          <w:color w:val="000000"/>
          <w:kern w:val="0"/>
          <w:sz w:val="22"/>
          <w:szCs w:val="22"/>
        </w:rPr>
        <w:t>短缺量有所减少</w:t>
      </w:r>
      <w:r w:rsidRPr="003C6AB5">
        <w:rPr>
          <w:rFonts w:asciiTheme="minorEastAsia" w:eastAsiaTheme="minorEastAsia" w:hAnsiTheme="minorEastAsia" w:cs="宋体" w:hint="eastAsia"/>
          <w:color w:val="000000"/>
          <w:kern w:val="0"/>
          <w:sz w:val="22"/>
          <w:szCs w:val="22"/>
        </w:rPr>
        <w:t>。</w:t>
      </w:r>
    </w:p>
    <w:p w:rsidR="004A527B" w:rsidRPr="00A136B1" w:rsidRDefault="004A527B" w:rsidP="00160F17">
      <w:pPr>
        <w:spacing w:line="300" w:lineRule="auto"/>
        <w:ind w:firstLineChars="200" w:firstLine="440"/>
        <w:rPr>
          <w:rFonts w:asciiTheme="minorEastAsia" w:eastAsiaTheme="minorEastAsia" w:hAnsiTheme="minorEastAsia" w:cs="宋体"/>
          <w:color w:val="000000"/>
          <w:kern w:val="0"/>
          <w:sz w:val="22"/>
          <w:szCs w:val="22"/>
        </w:rPr>
      </w:pPr>
    </w:p>
    <w:p w:rsidR="00D6319B" w:rsidRPr="0042161F" w:rsidRDefault="00D6319B" w:rsidP="00D6319B">
      <w:pPr>
        <w:pStyle w:val="a8"/>
        <w:keepNext/>
      </w:pPr>
      <w:r>
        <w:rPr>
          <w:rFonts w:hint="eastAsia"/>
        </w:rPr>
        <w:lastRenderedPageBreak/>
        <w:t>图表</w:t>
      </w:r>
      <w:r>
        <w:rPr>
          <w:rFonts w:hint="eastAsia"/>
        </w:rPr>
        <w:t xml:space="preserve"> </w:t>
      </w:r>
      <w:r w:rsidR="009056BA">
        <w:rPr>
          <w:rFonts w:hint="eastAsia"/>
        </w:rPr>
        <w:t>20</w:t>
      </w:r>
      <w:r>
        <w:rPr>
          <w:rFonts w:hint="eastAsia"/>
        </w:rPr>
        <w:t xml:space="preserve">  WBMS</w:t>
      </w:r>
      <w:r>
        <w:rPr>
          <w:rFonts w:hint="eastAsia"/>
        </w:rPr>
        <w:t>全球铅供需情况</w:t>
      </w:r>
      <w:r>
        <w:rPr>
          <w:rFonts w:hint="eastAsia"/>
        </w:rPr>
        <w:t xml:space="preserve">                         </w:t>
      </w:r>
      <w:r>
        <w:rPr>
          <w:rFonts w:hint="eastAsia"/>
        </w:rPr>
        <w:t>图表</w:t>
      </w:r>
      <w:r>
        <w:rPr>
          <w:rFonts w:hint="eastAsia"/>
        </w:rPr>
        <w:t xml:space="preserve"> </w:t>
      </w:r>
      <w:r w:rsidR="009056BA">
        <w:rPr>
          <w:rFonts w:hint="eastAsia"/>
        </w:rPr>
        <w:t>21</w:t>
      </w:r>
      <w:r>
        <w:rPr>
          <w:rFonts w:hint="eastAsia"/>
        </w:rPr>
        <w:t xml:space="preserve">  ILZSG</w:t>
      </w:r>
      <w:r>
        <w:rPr>
          <w:rFonts w:hint="eastAsia"/>
        </w:rPr>
        <w:t>全球铅供需情况</w:t>
      </w:r>
    </w:p>
    <w:tbl>
      <w:tblPr>
        <w:tblW w:w="11056" w:type="dxa"/>
        <w:jc w:val="center"/>
        <w:tblInd w:w="637" w:type="dxa"/>
        <w:tblBorders>
          <w:top w:val="single" w:sz="12" w:space="0" w:color="C0504D"/>
          <w:bottom w:val="single" w:sz="12" w:space="0" w:color="C0504D"/>
          <w:insideH w:val="single" w:sz="4" w:space="0" w:color="auto"/>
        </w:tblBorders>
        <w:tblLayout w:type="fixed"/>
        <w:tblLook w:val="04A0"/>
      </w:tblPr>
      <w:tblGrid>
        <w:gridCol w:w="5528"/>
        <w:gridCol w:w="5528"/>
      </w:tblGrid>
      <w:tr w:rsidR="00D6319B" w:rsidTr="005B7449">
        <w:trPr>
          <w:trHeight w:val="3969"/>
          <w:jc w:val="center"/>
        </w:trPr>
        <w:tc>
          <w:tcPr>
            <w:tcW w:w="5528" w:type="dxa"/>
          </w:tcPr>
          <w:p w:rsidR="00D6319B" w:rsidRPr="009344A3" w:rsidRDefault="008568F8" w:rsidP="008568F8">
            <w:pPr>
              <w:tabs>
                <w:tab w:val="left" w:pos="1493"/>
              </w:tabs>
              <w:ind w:leftChars="-238" w:left="-500" w:rightChars="90" w:right="189" w:firstLineChars="153" w:firstLine="367"/>
              <w:jc w:val="right"/>
              <w:rPr>
                <w:rFonts w:ascii="宋体" w:cs="宋体"/>
                <w:color w:val="002C57"/>
                <w:kern w:val="0"/>
                <w:sz w:val="24"/>
                <w:lang w:val="zh-CN"/>
              </w:rPr>
            </w:pPr>
            <w:r w:rsidRPr="008568F8">
              <w:rPr>
                <w:rFonts w:ascii="宋体" w:cs="宋体"/>
                <w:noProof/>
                <w:color w:val="002C57"/>
                <w:kern w:val="0"/>
                <w:sz w:val="24"/>
              </w:rPr>
              <w:drawing>
                <wp:inline distT="0" distB="0" distL="0" distR="0">
                  <wp:extent cx="3496665" cy="2670048"/>
                  <wp:effectExtent l="0" t="0" r="0" b="0"/>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528" w:type="dxa"/>
          </w:tcPr>
          <w:p w:rsidR="00D6319B" w:rsidRPr="009344A3" w:rsidRDefault="00D6319B" w:rsidP="005B7449">
            <w:pPr>
              <w:ind w:leftChars="-82" w:left="-172" w:rightChars="-90" w:right="-189"/>
              <w:jc w:val="center"/>
              <w:rPr>
                <w:rFonts w:ascii="宋体" w:cs="宋体"/>
                <w:color w:val="002C57"/>
                <w:kern w:val="0"/>
                <w:sz w:val="24"/>
                <w:lang w:val="zh-CN"/>
              </w:rPr>
            </w:pPr>
            <w:r w:rsidRPr="00837ABA">
              <w:rPr>
                <w:rFonts w:ascii="宋体" w:cs="宋体"/>
                <w:noProof/>
                <w:color w:val="002C57"/>
                <w:kern w:val="0"/>
                <w:sz w:val="24"/>
              </w:rPr>
              <w:drawing>
                <wp:inline distT="0" distB="0" distL="0" distR="0">
                  <wp:extent cx="3582538" cy="2661314"/>
                  <wp:effectExtent l="0" t="0" r="0" b="0"/>
                  <wp:docPr id="4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D6319B" w:rsidRPr="006546CD" w:rsidRDefault="00D6319B" w:rsidP="00D6319B">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sidRPr="004E44A4">
        <w:rPr>
          <w:rFonts w:hAnsi="宋体" w:hint="eastAsia"/>
          <w:bCs/>
          <w:color w:val="993300"/>
          <w:sz w:val="18"/>
          <w:szCs w:val="18"/>
        </w:rPr>
        <w:t>WIND</w:t>
      </w:r>
      <w:r>
        <w:rPr>
          <w:rFonts w:hAnsi="宋体" w:hint="eastAsia"/>
          <w:bCs/>
          <w:color w:val="993300"/>
          <w:sz w:val="18"/>
          <w:szCs w:val="18"/>
        </w:rPr>
        <w:t>，</w:t>
      </w:r>
      <w:r w:rsidRPr="004E44A4">
        <w:rPr>
          <w:rFonts w:hAnsi="宋体" w:hint="eastAsia"/>
          <w:bCs/>
          <w:color w:val="993300"/>
          <w:sz w:val="18"/>
          <w:szCs w:val="18"/>
        </w:rPr>
        <w:t>金源期货</w:t>
      </w:r>
    </w:p>
    <w:p w:rsidR="004825FA" w:rsidRDefault="00BB65F9" w:rsidP="00663B25">
      <w:pPr>
        <w:pStyle w:val="3"/>
        <w:numPr>
          <w:ilvl w:val="0"/>
          <w:numId w:val="26"/>
        </w:numPr>
        <w:spacing w:line="360" w:lineRule="auto"/>
        <w:rPr>
          <w:rFonts w:ascii="宋体" w:hAnsi="宋体"/>
          <w:color w:val="993300"/>
          <w:sz w:val="21"/>
          <w:szCs w:val="21"/>
        </w:rPr>
      </w:pPr>
      <w:bookmarkStart w:id="155" w:name="_Toc389830957"/>
      <w:bookmarkStart w:id="156" w:name="_Toc340436175"/>
      <w:r>
        <w:rPr>
          <w:rFonts w:ascii="宋体" w:hAnsi="宋体" w:hint="eastAsia"/>
          <w:color w:val="993300"/>
          <w:sz w:val="21"/>
          <w:szCs w:val="21"/>
        </w:rPr>
        <w:t>交易所</w:t>
      </w:r>
      <w:r w:rsidR="00E57508">
        <w:rPr>
          <w:rFonts w:ascii="宋体" w:hAnsi="宋体" w:hint="eastAsia"/>
          <w:color w:val="993300"/>
          <w:sz w:val="21"/>
          <w:szCs w:val="21"/>
        </w:rPr>
        <w:t>铅库存</w:t>
      </w:r>
      <w:r w:rsidR="00163B0E">
        <w:rPr>
          <w:rFonts w:ascii="宋体" w:hAnsi="宋体" w:hint="eastAsia"/>
          <w:color w:val="993300"/>
          <w:sz w:val="21"/>
          <w:szCs w:val="21"/>
        </w:rPr>
        <w:t>稳步回落</w:t>
      </w:r>
      <w:bookmarkEnd w:id="155"/>
    </w:p>
    <w:p w:rsidR="00E65983" w:rsidRDefault="00E65983" w:rsidP="00E91229">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伦敦金属交易所库存自今年初的21.5万吨回落至2月底20万吨的水平后，3-4月基本维持在20万吨上下，进入5月份，LME铅库存继续小幅回落，目前</w:t>
      </w:r>
      <w:r w:rsidR="00F02A7A">
        <w:rPr>
          <w:rFonts w:asciiTheme="minorEastAsia" w:eastAsiaTheme="minorEastAsia" w:hAnsiTheme="minorEastAsia" w:cs="宋体" w:hint="eastAsia"/>
          <w:color w:val="000000"/>
          <w:kern w:val="0"/>
          <w:sz w:val="22"/>
          <w:szCs w:val="22"/>
        </w:rPr>
        <w:t>已经降至19万吨附近。其中，美洲地区库存降幅最为显著。分仓库来看，库存下降最明显的是比利时安特卫普仓库，</w:t>
      </w:r>
      <w:r w:rsidR="00650792">
        <w:rPr>
          <w:rFonts w:asciiTheme="minorEastAsia" w:eastAsiaTheme="minorEastAsia" w:hAnsiTheme="minorEastAsia" w:cs="宋体" w:hint="eastAsia"/>
          <w:color w:val="000000"/>
          <w:kern w:val="0"/>
          <w:sz w:val="22"/>
          <w:szCs w:val="22"/>
        </w:rPr>
        <w:t>从年初2.06万吨降至目前6800吨。</w:t>
      </w:r>
      <w:r w:rsidR="00887A57">
        <w:rPr>
          <w:rFonts w:asciiTheme="minorEastAsia" w:eastAsiaTheme="minorEastAsia" w:hAnsiTheme="minorEastAsia" w:cs="宋体" w:hint="eastAsia"/>
          <w:color w:val="000000"/>
          <w:kern w:val="0"/>
          <w:sz w:val="22"/>
          <w:szCs w:val="22"/>
        </w:rPr>
        <w:t>从注销仓单情况来看，</w:t>
      </w:r>
      <w:r w:rsidR="00821F32">
        <w:rPr>
          <w:rFonts w:asciiTheme="minorEastAsia" w:eastAsiaTheme="minorEastAsia" w:hAnsiTheme="minorEastAsia" w:cs="宋体" w:hint="eastAsia"/>
          <w:color w:val="000000"/>
          <w:kern w:val="0"/>
          <w:sz w:val="22"/>
          <w:szCs w:val="22"/>
        </w:rPr>
        <w:t>今年年初伦铅注销仓单占比自15%附近大幅飙升至1月中旬的21.5%，不过随后逐步回落，5月底已经下滑至9%下方，注销仓单占比下降显示近期库存回落速度或将放缓。</w:t>
      </w:r>
    </w:p>
    <w:p w:rsidR="003C6AB5" w:rsidRPr="003040B7" w:rsidRDefault="009E325E" w:rsidP="00E91229">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国内库存方面，自年初以来，上期所铅价基本围绕14000元/吨上下波动，库存总体呈回落趋势</w:t>
      </w:r>
      <w:r w:rsidR="00AA6AB3">
        <w:rPr>
          <w:rFonts w:asciiTheme="minorEastAsia" w:eastAsiaTheme="minorEastAsia" w:hAnsiTheme="minorEastAsia" w:cs="宋体" w:hint="eastAsia"/>
          <w:color w:val="000000"/>
          <w:kern w:val="0"/>
          <w:sz w:val="22"/>
          <w:szCs w:val="22"/>
        </w:rPr>
        <w:t>，从1月初9万吨左右下滑至如今的7万吨附近</w:t>
      </w:r>
      <w:r w:rsidR="003C6AB5" w:rsidRPr="003040B7">
        <w:rPr>
          <w:rFonts w:asciiTheme="minorEastAsia" w:eastAsiaTheme="minorEastAsia" w:hAnsiTheme="minorEastAsia" w:cs="宋体" w:hint="eastAsia"/>
          <w:color w:val="000000"/>
          <w:kern w:val="0"/>
          <w:sz w:val="22"/>
          <w:szCs w:val="22"/>
        </w:rPr>
        <w:t>。</w:t>
      </w:r>
      <w:r w:rsidR="00AA6AB3">
        <w:rPr>
          <w:rFonts w:asciiTheme="minorEastAsia" w:eastAsiaTheme="minorEastAsia" w:hAnsiTheme="minorEastAsia" w:cs="宋体" w:hint="eastAsia"/>
          <w:color w:val="000000"/>
          <w:kern w:val="0"/>
          <w:sz w:val="22"/>
          <w:szCs w:val="22"/>
        </w:rPr>
        <w:t>据安泰科调研，部分主流铅冶炼企业，特别是原生铅冶炼企业，现货库存较低，造成短期内铅现货供应偏紧，受此影响沪铅库存量小幅下降。</w:t>
      </w:r>
    </w:p>
    <w:p w:rsidR="00B27E81" w:rsidRPr="0042161F" w:rsidRDefault="00B27E81" w:rsidP="00B27E81">
      <w:pPr>
        <w:pStyle w:val="a8"/>
        <w:keepNext/>
      </w:pPr>
      <w:r>
        <w:rPr>
          <w:rFonts w:hint="eastAsia"/>
        </w:rPr>
        <w:lastRenderedPageBreak/>
        <w:t>图表</w:t>
      </w:r>
      <w:r>
        <w:rPr>
          <w:rFonts w:hint="eastAsia"/>
        </w:rPr>
        <w:t xml:space="preserve"> </w:t>
      </w:r>
      <w:r w:rsidR="009056BA">
        <w:rPr>
          <w:rFonts w:hint="eastAsia"/>
        </w:rPr>
        <w:t>22</w:t>
      </w:r>
      <w:r>
        <w:rPr>
          <w:rFonts w:hint="eastAsia"/>
        </w:rPr>
        <w:t xml:space="preserve"> </w:t>
      </w:r>
      <w:r>
        <w:rPr>
          <w:rFonts w:hint="eastAsia"/>
        </w:rPr>
        <w:t>铅库存与</w:t>
      </w:r>
      <w:r>
        <w:rPr>
          <w:rFonts w:hint="eastAsia"/>
        </w:rPr>
        <w:t>LME</w:t>
      </w:r>
      <w:r>
        <w:rPr>
          <w:rFonts w:hint="eastAsia"/>
        </w:rPr>
        <w:t>铅期价走势</w:t>
      </w:r>
      <w:r>
        <w:rPr>
          <w:rFonts w:hint="eastAsia"/>
        </w:rPr>
        <w:t xml:space="preserve">                   </w:t>
      </w:r>
      <w:r>
        <w:rPr>
          <w:rFonts w:hint="eastAsia"/>
        </w:rPr>
        <w:t>图表</w:t>
      </w:r>
      <w:r>
        <w:rPr>
          <w:rFonts w:hint="eastAsia"/>
        </w:rPr>
        <w:t xml:space="preserve"> </w:t>
      </w:r>
      <w:r w:rsidR="009056BA">
        <w:rPr>
          <w:rFonts w:hint="eastAsia"/>
        </w:rPr>
        <w:t>23</w:t>
      </w:r>
      <w:r>
        <w:rPr>
          <w:rFonts w:hint="eastAsia"/>
        </w:rPr>
        <w:t xml:space="preserve"> LME</w:t>
      </w:r>
      <w:r w:rsidR="009F3FEB">
        <w:rPr>
          <w:rFonts w:hint="eastAsia"/>
        </w:rPr>
        <w:t>铅</w:t>
      </w:r>
      <w:r>
        <w:rPr>
          <w:rFonts w:hint="eastAsia"/>
        </w:rPr>
        <w:t>库存与注销仓单占比</w:t>
      </w:r>
    </w:p>
    <w:tbl>
      <w:tblPr>
        <w:tblW w:w="11056" w:type="dxa"/>
        <w:jc w:val="center"/>
        <w:tblInd w:w="731" w:type="dxa"/>
        <w:tblBorders>
          <w:top w:val="single" w:sz="12" w:space="0" w:color="C0504D"/>
          <w:bottom w:val="single" w:sz="12" w:space="0" w:color="C0504D"/>
          <w:insideH w:val="single" w:sz="4" w:space="0" w:color="auto"/>
        </w:tblBorders>
        <w:tblLayout w:type="fixed"/>
        <w:tblLook w:val="04A0"/>
      </w:tblPr>
      <w:tblGrid>
        <w:gridCol w:w="5528"/>
        <w:gridCol w:w="5528"/>
      </w:tblGrid>
      <w:tr w:rsidR="00B27E81" w:rsidTr="0030681B">
        <w:trPr>
          <w:trHeight w:val="3969"/>
          <w:jc w:val="center"/>
        </w:trPr>
        <w:tc>
          <w:tcPr>
            <w:tcW w:w="5528" w:type="dxa"/>
          </w:tcPr>
          <w:p w:rsidR="00B27E81" w:rsidRPr="009344A3" w:rsidRDefault="00B27E81" w:rsidP="0030681B">
            <w:pPr>
              <w:tabs>
                <w:tab w:val="left" w:pos="1493"/>
              </w:tabs>
              <w:ind w:leftChars="-96" w:left="-202" w:rightChars="-7" w:right="-15" w:firstLineChars="6" w:firstLine="14"/>
              <w:jc w:val="right"/>
              <w:rPr>
                <w:rFonts w:ascii="宋体" w:cs="宋体"/>
                <w:color w:val="002C57"/>
                <w:kern w:val="0"/>
                <w:sz w:val="24"/>
                <w:lang w:val="zh-CN"/>
              </w:rPr>
            </w:pPr>
            <w:r w:rsidRPr="006546CD">
              <w:rPr>
                <w:rFonts w:ascii="宋体" w:cs="宋体"/>
                <w:noProof/>
                <w:color w:val="002C57"/>
                <w:kern w:val="0"/>
                <w:sz w:val="24"/>
              </w:rPr>
              <w:drawing>
                <wp:inline distT="0" distB="0" distL="0" distR="0">
                  <wp:extent cx="3419475" cy="2524125"/>
                  <wp:effectExtent l="0" t="0" r="0" b="0"/>
                  <wp:docPr id="4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528" w:type="dxa"/>
          </w:tcPr>
          <w:p w:rsidR="00B27E81" w:rsidRPr="009344A3" w:rsidRDefault="00B27E81" w:rsidP="005B7449">
            <w:pPr>
              <w:ind w:leftChars="-82" w:left="-172" w:rightChars="-90" w:right="-189"/>
              <w:jc w:val="center"/>
              <w:rPr>
                <w:rFonts w:ascii="宋体" w:cs="宋体"/>
                <w:color w:val="002C57"/>
                <w:kern w:val="0"/>
                <w:sz w:val="24"/>
                <w:lang w:val="zh-CN"/>
              </w:rPr>
            </w:pPr>
            <w:r w:rsidRPr="001406CA">
              <w:rPr>
                <w:rFonts w:ascii="宋体" w:cs="宋体"/>
                <w:noProof/>
                <w:color w:val="002C57"/>
                <w:kern w:val="0"/>
                <w:sz w:val="24"/>
              </w:rPr>
              <w:drawing>
                <wp:inline distT="0" distB="0" distL="0" distR="0">
                  <wp:extent cx="3419475" cy="2524125"/>
                  <wp:effectExtent l="0" t="0" r="0" b="0"/>
                  <wp:docPr id="4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B27E81" w:rsidRDefault="00B27E81" w:rsidP="00B27E81">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Pr>
          <w:rFonts w:hAnsi="宋体" w:hint="eastAsia"/>
          <w:bCs/>
          <w:color w:val="993300"/>
          <w:sz w:val="18"/>
          <w:szCs w:val="18"/>
        </w:rPr>
        <w:t>Bloomberg</w:t>
      </w:r>
      <w:r>
        <w:rPr>
          <w:rFonts w:hAnsi="宋体" w:hint="eastAsia"/>
          <w:bCs/>
          <w:color w:val="993300"/>
          <w:sz w:val="18"/>
          <w:szCs w:val="18"/>
        </w:rPr>
        <w:t>，</w:t>
      </w:r>
      <w:r w:rsidRPr="004E44A4">
        <w:rPr>
          <w:rFonts w:hAnsi="宋体" w:hint="eastAsia"/>
          <w:bCs/>
          <w:color w:val="993300"/>
          <w:sz w:val="18"/>
          <w:szCs w:val="18"/>
        </w:rPr>
        <w:t>金源期货</w:t>
      </w:r>
    </w:p>
    <w:p w:rsidR="00A41198" w:rsidRDefault="00F244AE" w:rsidP="00663B25">
      <w:pPr>
        <w:pStyle w:val="3"/>
        <w:numPr>
          <w:ilvl w:val="0"/>
          <w:numId w:val="26"/>
        </w:numPr>
        <w:spacing w:line="360" w:lineRule="auto"/>
        <w:rPr>
          <w:rFonts w:ascii="宋体" w:hAnsi="宋体"/>
          <w:color w:val="993300"/>
          <w:sz w:val="21"/>
          <w:szCs w:val="21"/>
        </w:rPr>
      </w:pPr>
      <w:bookmarkStart w:id="157" w:name="_Toc389830958"/>
      <w:r>
        <w:rPr>
          <w:rFonts w:ascii="宋体" w:hAnsi="宋体" w:hint="eastAsia"/>
          <w:color w:val="993300"/>
          <w:sz w:val="21"/>
          <w:szCs w:val="21"/>
        </w:rPr>
        <w:t>2014年全球精铅</w:t>
      </w:r>
      <w:r w:rsidR="00FA768E">
        <w:rPr>
          <w:rFonts w:ascii="宋体" w:hAnsi="宋体" w:hint="eastAsia"/>
          <w:color w:val="993300"/>
          <w:sz w:val="21"/>
          <w:szCs w:val="21"/>
        </w:rPr>
        <w:t>供需</w:t>
      </w:r>
      <w:r>
        <w:rPr>
          <w:rFonts w:ascii="宋体" w:hAnsi="宋体" w:hint="eastAsia"/>
          <w:color w:val="993300"/>
          <w:sz w:val="21"/>
          <w:szCs w:val="21"/>
        </w:rPr>
        <w:t>展望</w:t>
      </w:r>
      <w:bookmarkEnd w:id="157"/>
    </w:p>
    <w:p w:rsidR="00F244AE" w:rsidRPr="00FA768E" w:rsidRDefault="00663B25" w:rsidP="00FA768E">
      <w:pPr>
        <w:spacing w:line="300" w:lineRule="auto"/>
        <w:ind w:firstLineChars="200" w:firstLine="440"/>
        <w:rPr>
          <w:rFonts w:asciiTheme="minorEastAsia" w:eastAsiaTheme="minorEastAsia" w:hAnsiTheme="minorEastAsia" w:cs="宋体"/>
          <w:color w:val="000000"/>
          <w:kern w:val="0"/>
          <w:sz w:val="22"/>
          <w:szCs w:val="22"/>
        </w:rPr>
      </w:pPr>
      <w:r w:rsidRPr="00FA768E">
        <w:rPr>
          <w:rFonts w:asciiTheme="minorEastAsia" w:eastAsiaTheme="minorEastAsia" w:hAnsiTheme="minorEastAsia" w:cs="宋体" w:hint="eastAsia"/>
          <w:color w:val="000000"/>
          <w:kern w:val="0"/>
          <w:sz w:val="22"/>
          <w:szCs w:val="22"/>
        </w:rPr>
        <w:t>2014年全球</w:t>
      </w:r>
      <w:r w:rsidR="00FA768E" w:rsidRPr="00FA768E">
        <w:rPr>
          <w:rFonts w:asciiTheme="minorEastAsia" w:eastAsiaTheme="minorEastAsia" w:hAnsiTheme="minorEastAsia" w:cs="宋体" w:hint="eastAsia"/>
          <w:color w:val="000000"/>
          <w:kern w:val="0"/>
          <w:sz w:val="22"/>
          <w:szCs w:val="22"/>
        </w:rPr>
        <w:t>精铅消费面较为乐观。持续强劲的汽车生产和销售带动了美国和中国的需求，近期欧洲的消费状况也在逐步改善。据国际铅锌研究小组预计，2014年精炼铅产量将增长4.3%至1168万吨，消费量增长4.4%到1173万吨，全球短缺量将达到4.9万吨。同样地，CRU也认同全球铅市场在逐渐向更好的平衡状态转变，但其并不看好产量和消费量的增速，其预计2014年全球精铅产量将增长3.1%，消费量将增长3.4%。</w:t>
      </w:r>
    </w:p>
    <w:p w:rsidR="00FA768E" w:rsidRPr="00FA768E" w:rsidRDefault="00FA768E" w:rsidP="00FA768E">
      <w:pPr>
        <w:spacing w:line="300" w:lineRule="auto"/>
        <w:ind w:firstLineChars="200" w:firstLine="440"/>
        <w:rPr>
          <w:rFonts w:asciiTheme="minorEastAsia" w:eastAsiaTheme="minorEastAsia" w:hAnsiTheme="minorEastAsia" w:cs="宋体"/>
          <w:color w:val="000000"/>
          <w:kern w:val="0"/>
          <w:sz w:val="22"/>
          <w:szCs w:val="22"/>
        </w:rPr>
      </w:pPr>
      <w:r w:rsidRPr="00FA768E">
        <w:rPr>
          <w:rFonts w:asciiTheme="minorEastAsia" w:eastAsiaTheme="minorEastAsia" w:hAnsiTheme="minorEastAsia" w:cs="宋体" w:hint="eastAsia"/>
          <w:color w:val="000000"/>
          <w:kern w:val="0"/>
          <w:sz w:val="22"/>
          <w:szCs w:val="22"/>
        </w:rPr>
        <w:t>与国际铅锌研究小组不同，安泰科认为2013年全球精铅市场处于温和过剩状态，过剩量主要集中在中国。不过，对于千万吨的数量级来讲，安泰科与国际铅锌研究小组相差12万吨左右的估计量微不足道。预计2014年全球精炼铅产量将增长3.5%至1158万吨，全球精铅需求将增长4%至1155万吨。</w:t>
      </w:r>
    </w:p>
    <w:p w:rsidR="009034D9" w:rsidRPr="0021792B" w:rsidRDefault="009034D9" w:rsidP="00663B25">
      <w:pPr>
        <w:pStyle w:val="3"/>
        <w:numPr>
          <w:ilvl w:val="0"/>
          <w:numId w:val="26"/>
        </w:numPr>
        <w:spacing w:line="360" w:lineRule="auto"/>
        <w:rPr>
          <w:rFonts w:ascii="宋体" w:hAnsi="宋体"/>
          <w:color w:val="993300"/>
          <w:sz w:val="21"/>
          <w:szCs w:val="21"/>
        </w:rPr>
      </w:pPr>
      <w:bookmarkStart w:id="158" w:name="_Toc389830959"/>
      <w:r w:rsidRPr="0021792B">
        <w:rPr>
          <w:rFonts w:ascii="宋体" w:hAnsi="宋体" w:hint="eastAsia"/>
          <w:color w:val="993300"/>
          <w:sz w:val="21"/>
          <w:szCs w:val="21"/>
        </w:rPr>
        <w:t>国内</w:t>
      </w:r>
      <w:bookmarkEnd w:id="156"/>
      <w:r w:rsidR="00533809">
        <w:rPr>
          <w:rFonts w:ascii="宋体" w:hAnsi="宋体" w:hint="eastAsia"/>
          <w:color w:val="993300"/>
          <w:sz w:val="21"/>
          <w:szCs w:val="21"/>
        </w:rPr>
        <w:t>市场供应情况</w:t>
      </w:r>
      <w:bookmarkEnd w:id="158"/>
    </w:p>
    <w:p w:rsidR="000402BF" w:rsidRDefault="00095372" w:rsidP="00193F8E">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原材料方面，</w:t>
      </w:r>
      <w:r w:rsidR="00034344" w:rsidRPr="00193F8E">
        <w:rPr>
          <w:rFonts w:asciiTheme="minorEastAsia" w:eastAsiaTheme="minorEastAsia" w:hAnsiTheme="minorEastAsia" w:cs="宋体"/>
          <w:color w:val="000000"/>
          <w:kern w:val="0"/>
          <w:sz w:val="22"/>
          <w:szCs w:val="22"/>
        </w:rPr>
        <w:t>2013</w:t>
      </w:r>
      <w:r w:rsidR="00034344" w:rsidRPr="00193F8E">
        <w:rPr>
          <w:rFonts w:asciiTheme="minorEastAsia" w:eastAsiaTheme="minorEastAsia" w:hAnsiTheme="minorEastAsia" w:cs="宋体" w:hint="eastAsia"/>
          <w:color w:val="000000"/>
          <w:kern w:val="0"/>
          <w:sz w:val="22"/>
          <w:szCs w:val="22"/>
        </w:rPr>
        <w:t>年</w:t>
      </w:r>
      <w:r w:rsidR="00987E5C">
        <w:rPr>
          <w:rFonts w:asciiTheme="minorEastAsia" w:eastAsiaTheme="minorEastAsia" w:hAnsiTheme="minorEastAsia" w:cs="宋体" w:hint="eastAsia"/>
          <w:color w:val="000000"/>
          <w:kern w:val="0"/>
          <w:sz w:val="22"/>
          <w:szCs w:val="22"/>
        </w:rPr>
        <w:t>全年</w:t>
      </w:r>
      <w:r w:rsidR="00034344" w:rsidRPr="00193F8E">
        <w:rPr>
          <w:rFonts w:asciiTheme="minorEastAsia" w:eastAsiaTheme="minorEastAsia" w:hAnsiTheme="minorEastAsia" w:cs="宋体" w:hint="eastAsia"/>
          <w:color w:val="000000"/>
          <w:kern w:val="0"/>
          <w:sz w:val="22"/>
          <w:szCs w:val="22"/>
        </w:rPr>
        <w:t>我国铅精矿产量为</w:t>
      </w:r>
      <w:r w:rsidR="00987E5C">
        <w:rPr>
          <w:rFonts w:asciiTheme="minorEastAsia" w:eastAsiaTheme="minorEastAsia" w:hAnsiTheme="minorEastAsia" w:cs="宋体" w:hint="eastAsia"/>
          <w:color w:val="000000"/>
          <w:kern w:val="0"/>
          <w:sz w:val="22"/>
          <w:szCs w:val="22"/>
        </w:rPr>
        <w:t>314.98</w:t>
      </w:r>
      <w:r w:rsidR="00FF309A" w:rsidRPr="00193F8E">
        <w:rPr>
          <w:rFonts w:asciiTheme="minorEastAsia" w:eastAsiaTheme="minorEastAsia" w:hAnsiTheme="minorEastAsia" w:cs="宋体" w:hint="eastAsia"/>
          <w:color w:val="000000"/>
          <w:kern w:val="0"/>
          <w:sz w:val="22"/>
          <w:szCs w:val="22"/>
        </w:rPr>
        <w:t>万吨，同比增长</w:t>
      </w:r>
      <w:r w:rsidR="00987E5C">
        <w:rPr>
          <w:rFonts w:asciiTheme="minorEastAsia" w:eastAsiaTheme="minorEastAsia" w:hAnsiTheme="minorEastAsia" w:cs="宋体" w:hint="eastAsia"/>
          <w:color w:val="000000"/>
          <w:kern w:val="0"/>
          <w:sz w:val="22"/>
          <w:szCs w:val="22"/>
        </w:rPr>
        <w:t>13.17</w:t>
      </w:r>
      <w:r w:rsidR="00FF309A" w:rsidRPr="00193F8E">
        <w:rPr>
          <w:rFonts w:asciiTheme="minorEastAsia" w:eastAsiaTheme="minorEastAsia" w:hAnsiTheme="minorEastAsia" w:cs="宋体" w:hint="eastAsia"/>
          <w:color w:val="000000"/>
          <w:kern w:val="0"/>
          <w:sz w:val="22"/>
          <w:szCs w:val="22"/>
        </w:rPr>
        <w:t>%</w:t>
      </w:r>
      <w:r w:rsidR="00034344" w:rsidRPr="00193F8E">
        <w:rPr>
          <w:rFonts w:asciiTheme="minorEastAsia" w:eastAsiaTheme="minorEastAsia" w:hAnsiTheme="minorEastAsia" w:cs="宋体" w:hint="eastAsia"/>
          <w:color w:val="000000"/>
          <w:kern w:val="0"/>
          <w:sz w:val="22"/>
          <w:szCs w:val="22"/>
        </w:rPr>
        <w:t>。</w:t>
      </w:r>
      <w:r w:rsidR="00066964">
        <w:rPr>
          <w:rFonts w:asciiTheme="minorEastAsia" w:eastAsiaTheme="minorEastAsia" w:hAnsiTheme="minorEastAsia" w:cs="宋体" w:hint="eastAsia"/>
          <w:color w:val="000000"/>
          <w:kern w:val="0"/>
          <w:sz w:val="22"/>
          <w:szCs w:val="22"/>
        </w:rPr>
        <w:t>今年1-4月我国累计生产铅精矿</w:t>
      </w:r>
      <w:r w:rsidR="00C077CE">
        <w:rPr>
          <w:rFonts w:asciiTheme="minorEastAsia" w:eastAsiaTheme="minorEastAsia" w:hAnsiTheme="minorEastAsia" w:cs="宋体" w:hint="eastAsia"/>
          <w:color w:val="000000"/>
          <w:kern w:val="0"/>
          <w:sz w:val="22"/>
          <w:szCs w:val="22"/>
        </w:rPr>
        <w:t>74.34</w:t>
      </w:r>
      <w:r w:rsidR="00066964">
        <w:rPr>
          <w:rFonts w:asciiTheme="minorEastAsia" w:eastAsiaTheme="minorEastAsia" w:hAnsiTheme="minorEastAsia" w:cs="宋体" w:hint="eastAsia"/>
          <w:color w:val="000000"/>
          <w:kern w:val="0"/>
          <w:sz w:val="22"/>
          <w:szCs w:val="22"/>
        </w:rPr>
        <w:t>万吨，</w:t>
      </w:r>
      <w:r w:rsidR="00C077CE">
        <w:rPr>
          <w:rFonts w:asciiTheme="minorEastAsia" w:eastAsiaTheme="minorEastAsia" w:hAnsiTheme="minorEastAsia" w:cs="宋体" w:hint="eastAsia"/>
          <w:color w:val="000000"/>
          <w:kern w:val="0"/>
          <w:sz w:val="22"/>
          <w:szCs w:val="22"/>
        </w:rPr>
        <w:t>同比下滑8.4%，但较1-3月13.8%的</w:t>
      </w:r>
      <w:r w:rsidR="00304238">
        <w:rPr>
          <w:rFonts w:asciiTheme="minorEastAsia" w:eastAsiaTheme="minorEastAsia" w:hAnsiTheme="minorEastAsia" w:cs="宋体" w:hint="eastAsia"/>
          <w:color w:val="000000"/>
          <w:kern w:val="0"/>
          <w:sz w:val="22"/>
          <w:szCs w:val="22"/>
        </w:rPr>
        <w:t>降幅收窄。季节性因素以及价格低迷是铅精矿产量下降的主要原因。从新增项目发展情况来看，目前采选业投资仍在继续，</w:t>
      </w:r>
      <w:r w:rsidR="00FF5F52">
        <w:rPr>
          <w:rFonts w:asciiTheme="minorEastAsia" w:eastAsiaTheme="minorEastAsia" w:hAnsiTheme="minorEastAsia" w:cs="宋体" w:hint="eastAsia"/>
          <w:color w:val="000000"/>
          <w:kern w:val="0"/>
          <w:sz w:val="22"/>
          <w:szCs w:val="22"/>
        </w:rPr>
        <w:t>预计</w:t>
      </w:r>
      <w:r w:rsidR="00304238">
        <w:rPr>
          <w:rFonts w:asciiTheme="minorEastAsia" w:eastAsiaTheme="minorEastAsia" w:hAnsiTheme="minorEastAsia" w:cs="宋体" w:hint="eastAsia"/>
          <w:color w:val="000000"/>
          <w:kern w:val="0"/>
          <w:sz w:val="22"/>
          <w:szCs w:val="22"/>
        </w:rPr>
        <w:t>全年总投资不会显著减少。另外值得关注的一个趋势是，由于目前多数冶炼厂盈利模式还包括综合回收产出的多种副产品，因此在原料采购时对原料品质，尤其是其他副产品品质要求在逐步提高。随着近期铅价企稳，气温回升，二季度国内铅精矿产量预计将出现一定增幅。</w:t>
      </w:r>
    </w:p>
    <w:p w:rsidR="00325452" w:rsidRPr="002D160D" w:rsidRDefault="00FF5F52" w:rsidP="00193F8E">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伴随着铅精矿产量的小幅下滑，今年1-4月国内精炼铅的产量也出现了小幅的回落</w:t>
      </w:r>
      <w:r w:rsidR="00987E5C">
        <w:rPr>
          <w:rFonts w:asciiTheme="minorEastAsia" w:eastAsiaTheme="minorEastAsia" w:hAnsiTheme="minorEastAsia" w:cs="宋体" w:hint="eastAsia"/>
          <w:color w:val="000000"/>
          <w:kern w:val="0"/>
          <w:sz w:val="22"/>
          <w:szCs w:val="22"/>
        </w:rPr>
        <w:t>。</w:t>
      </w:r>
      <w:r w:rsidR="00987E5C">
        <w:rPr>
          <w:rFonts w:asciiTheme="minorEastAsia" w:eastAsiaTheme="minorEastAsia" w:hAnsiTheme="minorEastAsia" w:cs="宋体" w:hint="eastAsia"/>
          <w:color w:val="000000"/>
          <w:kern w:val="0"/>
          <w:sz w:val="22"/>
          <w:szCs w:val="22"/>
        </w:rPr>
        <w:lastRenderedPageBreak/>
        <w:t>据</w:t>
      </w:r>
      <w:r w:rsidR="00325452" w:rsidRPr="00193F8E">
        <w:rPr>
          <w:rFonts w:asciiTheme="minorEastAsia" w:eastAsiaTheme="minorEastAsia" w:hAnsiTheme="minorEastAsia" w:cs="宋体" w:hint="eastAsia"/>
          <w:color w:val="000000"/>
          <w:kern w:val="0"/>
          <w:sz w:val="22"/>
          <w:szCs w:val="22"/>
        </w:rPr>
        <w:t>中国有色金属工业协会数据显示，</w:t>
      </w:r>
      <w:r w:rsidR="002B258F">
        <w:rPr>
          <w:rFonts w:asciiTheme="minorEastAsia" w:eastAsiaTheme="minorEastAsia" w:hAnsiTheme="minorEastAsia" w:cs="宋体" w:hint="eastAsia"/>
          <w:color w:val="000000"/>
          <w:kern w:val="0"/>
          <w:sz w:val="22"/>
          <w:szCs w:val="22"/>
        </w:rPr>
        <w:t>2014年1-4月我国累计生产精炼铅137.81万吨，同比下降3.18%</w:t>
      </w:r>
      <w:r w:rsidR="002F12E0">
        <w:rPr>
          <w:rFonts w:asciiTheme="minorEastAsia" w:eastAsiaTheme="minorEastAsia" w:hAnsiTheme="minorEastAsia" w:cs="宋体" w:hint="eastAsia"/>
          <w:color w:val="000000"/>
          <w:kern w:val="0"/>
          <w:sz w:val="22"/>
          <w:szCs w:val="22"/>
        </w:rPr>
        <w:t>。</w:t>
      </w:r>
      <w:r w:rsidR="00325452" w:rsidRPr="00193F8E">
        <w:rPr>
          <w:rFonts w:asciiTheme="minorEastAsia" w:eastAsiaTheme="minorEastAsia" w:hAnsiTheme="minorEastAsia" w:cs="宋体" w:hint="eastAsia"/>
          <w:color w:val="000000"/>
          <w:kern w:val="0"/>
          <w:sz w:val="22"/>
          <w:szCs w:val="22"/>
        </w:rPr>
        <w:t>2013年</w:t>
      </w:r>
      <w:r w:rsidR="00325452">
        <w:rPr>
          <w:rFonts w:asciiTheme="minorEastAsia" w:eastAsiaTheme="minorEastAsia" w:hAnsiTheme="minorEastAsia" w:cs="宋体" w:hint="eastAsia"/>
          <w:color w:val="000000"/>
          <w:kern w:val="0"/>
          <w:sz w:val="22"/>
          <w:szCs w:val="22"/>
        </w:rPr>
        <w:t>全年</w:t>
      </w:r>
      <w:r w:rsidR="00325452" w:rsidRPr="00193F8E">
        <w:rPr>
          <w:rFonts w:asciiTheme="minorEastAsia" w:eastAsiaTheme="minorEastAsia" w:hAnsiTheme="minorEastAsia" w:cs="宋体" w:hint="eastAsia"/>
          <w:color w:val="000000"/>
          <w:kern w:val="0"/>
          <w:sz w:val="22"/>
          <w:szCs w:val="22"/>
        </w:rPr>
        <w:t>精炼铅产量</w:t>
      </w:r>
      <w:r w:rsidR="00325452" w:rsidRPr="00193F8E">
        <w:rPr>
          <w:rFonts w:asciiTheme="minorEastAsia" w:eastAsiaTheme="minorEastAsia" w:hAnsiTheme="minorEastAsia" w:cs="宋体"/>
          <w:color w:val="000000"/>
          <w:kern w:val="0"/>
          <w:sz w:val="22"/>
          <w:szCs w:val="22"/>
        </w:rPr>
        <w:t>4</w:t>
      </w:r>
      <w:r w:rsidR="00325452">
        <w:rPr>
          <w:rFonts w:asciiTheme="minorEastAsia" w:eastAsiaTheme="minorEastAsia" w:hAnsiTheme="minorEastAsia" w:cs="宋体" w:hint="eastAsia"/>
          <w:color w:val="000000"/>
          <w:kern w:val="0"/>
          <w:sz w:val="22"/>
          <w:szCs w:val="22"/>
        </w:rPr>
        <w:t>47.51</w:t>
      </w:r>
      <w:r w:rsidR="00325452" w:rsidRPr="00193F8E">
        <w:rPr>
          <w:rFonts w:asciiTheme="minorEastAsia" w:eastAsiaTheme="minorEastAsia" w:hAnsiTheme="minorEastAsia" w:cs="宋体" w:hint="eastAsia"/>
          <w:color w:val="000000"/>
          <w:kern w:val="0"/>
          <w:sz w:val="22"/>
          <w:szCs w:val="22"/>
        </w:rPr>
        <w:t>万吨，累计同比</w:t>
      </w:r>
      <w:r w:rsidR="00325452">
        <w:rPr>
          <w:rFonts w:asciiTheme="minorEastAsia" w:eastAsiaTheme="minorEastAsia" w:hAnsiTheme="minorEastAsia" w:cs="宋体" w:hint="eastAsia"/>
          <w:color w:val="000000"/>
          <w:kern w:val="0"/>
          <w:sz w:val="22"/>
          <w:szCs w:val="22"/>
        </w:rPr>
        <w:t>上涨5</w:t>
      </w:r>
      <w:r w:rsidR="00325452" w:rsidRPr="00193F8E">
        <w:rPr>
          <w:rFonts w:asciiTheme="minorEastAsia" w:eastAsiaTheme="minorEastAsia" w:hAnsiTheme="minorEastAsia" w:cs="宋体"/>
          <w:color w:val="000000"/>
          <w:kern w:val="0"/>
          <w:sz w:val="22"/>
          <w:szCs w:val="22"/>
        </w:rPr>
        <w:t>%</w:t>
      </w:r>
      <w:r w:rsidR="00325452" w:rsidRPr="00193F8E">
        <w:rPr>
          <w:rFonts w:asciiTheme="minorEastAsia" w:eastAsiaTheme="minorEastAsia" w:hAnsiTheme="minorEastAsia" w:cs="宋体" w:hint="eastAsia"/>
          <w:color w:val="000000"/>
          <w:kern w:val="0"/>
          <w:sz w:val="22"/>
          <w:szCs w:val="22"/>
        </w:rPr>
        <w:t>。</w:t>
      </w:r>
      <w:r w:rsidR="00BB121B">
        <w:rPr>
          <w:rFonts w:asciiTheme="minorEastAsia" w:eastAsiaTheme="minorEastAsia" w:hAnsiTheme="minorEastAsia" w:cs="宋体" w:hint="eastAsia"/>
          <w:color w:val="000000"/>
          <w:kern w:val="0"/>
          <w:sz w:val="22"/>
          <w:szCs w:val="22"/>
        </w:rPr>
        <w:t>分地区来看，精炼铅主要生产大省河南和湖南1-3月份均保持了稳定的增长，一季度产量分别</w:t>
      </w:r>
      <w:r w:rsidR="00C753B8">
        <w:rPr>
          <w:rFonts w:asciiTheme="minorEastAsia" w:eastAsiaTheme="minorEastAsia" w:hAnsiTheme="minorEastAsia" w:cs="宋体" w:hint="eastAsia"/>
          <w:color w:val="000000"/>
          <w:kern w:val="0"/>
          <w:sz w:val="22"/>
          <w:szCs w:val="22"/>
        </w:rPr>
        <w:t>达到</w:t>
      </w:r>
      <w:r w:rsidR="00BB121B">
        <w:rPr>
          <w:rFonts w:asciiTheme="minorEastAsia" w:eastAsiaTheme="minorEastAsia" w:hAnsiTheme="minorEastAsia" w:cs="宋体" w:hint="eastAsia"/>
          <w:color w:val="000000"/>
          <w:kern w:val="0"/>
          <w:sz w:val="22"/>
          <w:szCs w:val="22"/>
        </w:rPr>
        <w:t>39.7万吨和29.1万吨，同比</w:t>
      </w:r>
      <w:r w:rsidR="00C753B8">
        <w:rPr>
          <w:rFonts w:asciiTheme="minorEastAsia" w:eastAsiaTheme="minorEastAsia" w:hAnsiTheme="minorEastAsia" w:cs="宋体" w:hint="eastAsia"/>
          <w:color w:val="000000"/>
          <w:kern w:val="0"/>
          <w:sz w:val="22"/>
          <w:szCs w:val="22"/>
        </w:rPr>
        <w:t>分别增长7.9%和5.1%。据安泰科的调研数据，目前除河南部分企业从去年就开始停产外，多数企业生产正常，原料库存相对充足，成品库存不多，基本为款到交货。</w:t>
      </w:r>
    </w:p>
    <w:p w:rsidR="00474E65" w:rsidRPr="00AB7E4C" w:rsidRDefault="00474E65" w:rsidP="00474E65">
      <w:pPr>
        <w:pStyle w:val="a8"/>
        <w:keepNext/>
      </w:pPr>
      <w:r>
        <w:rPr>
          <w:rFonts w:hint="eastAsia"/>
        </w:rPr>
        <w:t>图表</w:t>
      </w:r>
      <w:r>
        <w:rPr>
          <w:rFonts w:hint="eastAsia"/>
        </w:rPr>
        <w:t xml:space="preserve"> </w:t>
      </w:r>
      <w:r w:rsidR="009056BA">
        <w:rPr>
          <w:rFonts w:hint="eastAsia"/>
        </w:rPr>
        <w:t>24</w:t>
      </w:r>
      <w:r>
        <w:rPr>
          <w:rFonts w:hint="eastAsia"/>
        </w:rPr>
        <w:t xml:space="preserve"> </w:t>
      </w:r>
      <w:r>
        <w:rPr>
          <w:rFonts w:hint="eastAsia"/>
        </w:rPr>
        <w:t>精炼铅产量数据</w:t>
      </w:r>
      <w:r>
        <w:rPr>
          <w:rFonts w:hint="eastAsia"/>
        </w:rPr>
        <w:t xml:space="preserve">                                    </w:t>
      </w:r>
      <w:r>
        <w:rPr>
          <w:rFonts w:hint="eastAsia"/>
        </w:rPr>
        <w:t>图表</w:t>
      </w:r>
      <w:r>
        <w:rPr>
          <w:rFonts w:hint="eastAsia"/>
        </w:rPr>
        <w:t xml:space="preserve"> </w:t>
      </w:r>
      <w:r w:rsidR="009056BA">
        <w:rPr>
          <w:rFonts w:hint="eastAsia"/>
        </w:rPr>
        <w:t>25</w:t>
      </w:r>
      <w:r>
        <w:rPr>
          <w:rFonts w:hint="eastAsia"/>
        </w:rPr>
        <w:t xml:space="preserve"> </w:t>
      </w:r>
      <w:r>
        <w:rPr>
          <w:rFonts w:hint="eastAsia"/>
        </w:rPr>
        <w:t>铅精矿产量数据</w:t>
      </w:r>
    </w:p>
    <w:tbl>
      <w:tblPr>
        <w:tblW w:w="11279" w:type="dxa"/>
        <w:jc w:val="center"/>
        <w:tblInd w:w="1061" w:type="dxa"/>
        <w:tblBorders>
          <w:top w:val="single" w:sz="12" w:space="0" w:color="C0504D"/>
          <w:bottom w:val="single" w:sz="12" w:space="0" w:color="C0504D"/>
          <w:insideH w:val="single" w:sz="4" w:space="0" w:color="auto"/>
        </w:tblBorders>
        <w:tblLook w:val="04A0"/>
      </w:tblPr>
      <w:tblGrid>
        <w:gridCol w:w="5672"/>
        <w:gridCol w:w="5607"/>
      </w:tblGrid>
      <w:tr w:rsidR="00474E65" w:rsidTr="005B7449">
        <w:trPr>
          <w:trHeight w:val="3969"/>
          <w:jc w:val="center"/>
        </w:trPr>
        <w:tc>
          <w:tcPr>
            <w:tcW w:w="5672" w:type="dxa"/>
          </w:tcPr>
          <w:p w:rsidR="00474E65" w:rsidRPr="009344A3" w:rsidRDefault="005D3373" w:rsidP="005D3373">
            <w:pPr>
              <w:tabs>
                <w:tab w:val="left" w:pos="1493"/>
              </w:tabs>
              <w:ind w:leftChars="-238" w:left="-500" w:rightChars="90" w:right="189" w:firstLineChars="153" w:firstLine="367"/>
              <w:jc w:val="right"/>
              <w:rPr>
                <w:rFonts w:ascii="宋体" w:cs="宋体"/>
                <w:color w:val="002C57"/>
                <w:kern w:val="0"/>
                <w:sz w:val="24"/>
                <w:lang w:val="zh-CN"/>
              </w:rPr>
            </w:pPr>
            <w:r w:rsidRPr="005D3373">
              <w:rPr>
                <w:rFonts w:ascii="宋体" w:cs="宋体"/>
                <w:noProof/>
                <w:color w:val="002C57"/>
                <w:kern w:val="0"/>
                <w:sz w:val="24"/>
              </w:rPr>
              <w:drawing>
                <wp:inline distT="0" distB="0" distL="0" distR="0">
                  <wp:extent cx="3635655" cy="2479852"/>
                  <wp:effectExtent l="0" t="0" r="0" b="0"/>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607" w:type="dxa"/>
          </w:tcPr>
          <w:p w:rsidR="00474E65" w:rsidRPr="009344A3" w:rsidRDefault="008B628A" w:rsidP="005B7449">
            <w:pPr>
              <w:ind w:leftChars="-82" w:left="-172" w:rightChars="-90" w:right="-189"/>
              <w:jc w:val="center"/>
              <w:rPr>
                <w:rFonts w:ascii="宋体" w:cs="宋体"/>
                <w:color w:val="002C57"/>
                <w:kern w:val="0"/>
                <w:sz w:val="24"/>
                <w:lang w:val="zh-CN"/>
              </w:rPr>
            </w:pPr>
            <w:r w:rsidRPr="008B628A">
              <w:rPr>
                <w:rFonts w:ascii="宋体" w:cs="宋体"/>
                <w:noProof/>
                <w:color w:val="002C57"/>
                <w:kern w:val="0"/>
                <w:sz w:val="24"/>
              </w:rPr>
              <w:drawing>
                <wp:inline distT="0" distB="0" distL="0" distR="0">
                  <wp:extent cx="3606394" cy="2465222"/>
                  <wp:effectExtent l="0" t="0" r="0" b="0"/>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474E65" w:rsidRPr="002268AB" w:rsidRDefault="00474E65" w:rsidP="00474E65">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sidR="00F909DA">
        <w:rPr>
          <w:rFonts w:hAnsi="宋体" w:hint="eastAsia"/>
          <w:bCs/>
          <w:color w:val="993300"/>
          <w:sz w:val="18"/>
          <w:szCs w:val="18"/>
        </w:rPr>
        <w:t>Wind</w:t>
      </w:r>
      <w:r>
        <w:rPr>
          <w:rFonts w:hAnsi="宋体" w:hint="eastAsia"/>
          <w:bCs/>
          <w:color w:val="993300"/>
          <w:sz w:val="18"/>
          <w:szCs w:val="18"/>
        </w:rPr>
        <w:t>，</w:t>
      </w:r>
      <w:r w:rsidRPr="004E44A4">
        <w:rPr>
          <w:rFonts w:hAnsi="宋体" w:hint="eastAsia"/>
          <w:bCs/>
          <w:color w:val="993300"/>
          <w:sz w:val="18"/>
          <w:szCs w:val="18"/>
        </w:rPr>
        <w:t>金源期货</w:t>
      </w:r>
    </w:p>
    <w:p w:rsidR="005651B2" w:rsidRDefault="00163242" w:rsidP="00376D0D">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铅精矿</w:t>
      </w:r>
      <w:r w:rsidR="002F1695" w:rsidRPr="00376D0D">
        <w:rPr>
          <w:rFonts w:asciiTheme="minorEastAsia" w:eastAsiaTheme="minorEastAsia" w:hAnsiTheme="minorEastAsia" w:cs="宋体" w:hint="eastAsia"/>
          <w:color w:val="000000"/>
          <w:kern w:val="0"/>
          <w:sz w:val="22"/>
          <w:szCs w:val="22"/>
        </w:rPr>
        <w:t>进口方面，</w:t>
      </w:r>
      <w:r w:rsidR="002F1695" w:rsidRPr="00376D0D">
        <w:rPr>
          <w:rFonts w:asciiTheme="minorEastAsia" w:eastAsiaTheme="minorEastAsia" w:hAnsiTheme="minorEastAsia" w:cs="宋体"/>
          <w:color w:val="000000"/>
          <w:kern w:val="0"/>
          <w:sz w:val="22"/>
          <w:szCs w:val="22"/>
        </w:rPr>
        <w:t>2013</w:t>
      </w:r>
      <w:r w:rsidR="002F1695" w:rsidRPr="00376D0D">
        <w:rPr>
          <w:rFonts w:asciiTheme="minorEastAsia" w:eastAsiaTheme="minorEastAsia" w:hAnsiTheme="minorEastAsia" w:cs="宋体" w:hint="eastAsia"/>
          <w:color w:val="000000"/>
          <w:kern w:val="0"/>
          <w:sz w:val="22"/>
          <w:szCs w:val="22"/>
        </w:rPr>
        <w:t>年</w:t>
      </w:r>
      <w:r w:rsidR="00DC5D4E">
        <w:rPr>
          <w:rFonts w:asciiTheme="minorEastAsia" w:eastAsiaTheme="minorEastAsia" w:hAnsiTheme="minorEastAsia" w:cs="宋体" w:hint="eastAsia"/>
          <w:color w:val="000000"/>
          <w:kern w:val="0"/>
          <w:sz w:val="22"/>
          <w:szCs w:val="22"/>
        </w:rPr>
        <w:t>全年</w:t>
      </w:r>
      <w:r w:rsidR="00376D0D">
        <w:rPr>
          <w:rFonts w:asciiTheme="minorEastAsia" w:eastAsiaTheme="minorEastAsia" w:hAnsiTheme="minorEastAsia" w:cs="宋体" w:hint="eastAsia"/>
          <w:color w:val="000000"/>
          <w:kern w:val="0"/>
          <w:sz w:val="22"/>
          <w:szCs w:val="22"/>
        </w:rPr>
        <w:t>国内铅精矿进口量累计</w:t>
      </w:r>
      <w:r w:rsidR="002F1695" w:rsidRPr="00376D0D">
        <w:rPr>
          <w:rFonts w:asciiTheme="minorEastAsia" w:eastAsiaTheme="minorEastAsia" w:hAnsiTheme="minorEastAsia" w:cs="宋体" w:hint="eastAsia"/>
          <w:color w:val="000000"/>
          <w:kern w:val="0"/>
          <w:sz w:val="22"/>
          <w:szCs w:val="22"/>
        </w:rPr>
        <w:t>达到</w:t>
      </w:r>
      <w:r w:rsidR="00DC5D4E">
        <w:rPr>
          <w:rFonts w:asciiTheme="minorEastAsia" w:eastAsiaTheme="minorEastAsia" w:hAnsiTheme="minorEastAsia" w:cs="宋体"/>
          <w:color w:val="000000"/>
          <w:kern w:val="0"/>
          <w:sz w:val="22"/>
          <w:szCs w:val="22"/>
        </w:rPr>
        <w:t>1</w:t>
      </w:r>
      <w:r w:rsidR="00DC5D4E">
        <w:rPr>
          <w:rFonts w:asciiTheme="minorEastAsia" w:eastAsiaTheme="minorEastAsia" w:hAnsiTheme="minorEastAsia" w:cs="宋体" w:hint="eastAsia"/>
          <w:color w:val="000000"/>
          <w:kern w:val="0"/>
          <w:sz w:val="22"/>
          <w:szCs w:val="22"/>
        </w:rPr>
        <w:t>49.26</w:t>
      </w:r>
      <w:r w:rsidR="002F1695" w:rsidRPr="00376D0D">
        <w:rPr>
          <w:rFonts w:asciiTheme="minorEastAsia" w:eastAsiaTheme="minorEastAsia" w:hAnsiTheme="minorEastAsia" w:cs="宋体" w:hint="eastAsia"/>
          <w:color w:val="000000"/>
          <w:kern w:val="0"/>
          <w:sz w:val="22"/>
          <w:szCs w:val="22"/>
        </w:rPr>
        <w:t>万吨，较</w:t>
      </w:r>
      <w:r w:rsidR="00D85266">
        <w:rPr>
          <w:rFonts w:asciiTheme="minorEastAsia" w:eastAsiaTheme="minorEastAsia" w:hAnsiTheme="minorEastAsia" w:cs="宋体" w:hint="eastAsia"/>
          <w:color w:val="000000"/>
          <w:kern w:val="0"/>
          <w:sz w:val="22"/>
          <w:szCs w:val="22"/>
        </w:rPr>
        <w:t>2012</w:t>
      </w:r>
      <w:r w:rsidR="002F1695" w:rsidRPr="00376D0D">
        <w:rPr>
          <w:rFonts w:asciiTheme="minorEastAsia" w:eastAsiaTheme="minorEastAsia" w:hAnsiTheme="minorEastAsia" w:cs="宋体" w:hint="eastAsia"/>
          <w:color w:val="000000"/>
          <w:kern w:val="0"/>
          <w:sz w:val="22"/>
          <w:szCs w:val="22"/>
        </w:rPr>
        <w:t>年同期同比减少</w:t>
      </w:r>
      <w:r w:rsidR="00DC5D4E">
        <w:rPr>
          <w:rFonts w:asciiTheme="minorEastAsia" w:eastAsiaTheme="minorEastAsia" w:hAnsiTheme="minorEastAsia" w:cs="宋体" w:hint="eastAsia"/>
          <w:color w:val="000000"/>
          <w:kern w:val="0"/>
          <w:sz w:val="22"/>
          <w:szCs w:val="22"/>
        </w:rPr>
        <w:t>17.77</w:t>
      </w:r>
      <w:r w:rsidR="002F1695" w:rsidRPr="00376D0D">
        <w:rPr>
          <w:rFonts w:asciiTheme="minorEastAsia" w:eastAsiaTheme="minorEastAsia" w:hAnsiTheme="minorEastAsia" w:cs="宋体"/>
          <w:color w:val="000000"/>
          <w:kern w:val="0"/>
          <w:sz w:val="22"/>
          <w:szCs w:val="22"/>
        </w:rPr>
        <w:t>%</w:t>
      </w:r>
      <w:r w:rsidR="002F1695" w:rsidRPr="00376D0D">
        <w:rPr>
          <w:rFonts w:asciiTheme="minorEastAsia" w:eastAsiaTheme="minorEastAsia" w:hAnsiTheme="minorEastAsia" w:cs="宋体" w:hint="eastAsia"/>
          <w:color w:val="000000"/>
          <w:kern w:val="0"/>
          <w:sz w:val="22"/>
          <w:szCs w:val="22"/>
        </w:rPr>
        <w:t>，去年同期为</w:t>
      </w:r>
      <w:r w:rsidR="00DC5D4E">
        <w:rPr>
          <w:rFonts w:asciiTheme="minorEastAsia" w:eastAsiaTheme="minorEastAsia" w:hAnsiTheme="minorEastAsia" w:cs="宋体" w:hint="eastAsia"/>
          <w:color w:val="000000"/>
          <w:kern w:val="0"/>
          <w:sz w:val="22"/>
          <w:szCs w:val="22"/>
        </w:rPr>
        <w:t>181.51</w:t>
      </w:r>
      <w:r w:rsidR="00B10AEB">
        <w:rPr>
          <w:rFonts w:asciiTheme="minorEastAsia" w:eastAsiaTheme="minorEastAsia" w:hAnsiTheme="minorEastAsia" w:cs="宋体" w:hint="eastAsia"/>
          <w:color w:val="000000"/>
          <w:kern w:val="0"/>
          <w:sz w:val="22"/>
          <w:szCs w:val="22"/>
        </w:rPr>
        <w:t>万吨。</w:t>
      </w:r>
      <w:r w:rsidR="00D85266">
        <w:rPr>
          <w:rFonts w:asciiTheme="minorEastAsia" w:eastAsiaTheme="minorEastAsia" w:hAnsiTheme="minorEastAsia" w:cs="宋体" w:hint="eastAsia"/>
          <w:color w:val="000000"/>
          <w:kern w:val="0"/>
          <w:sz w:val="22"/>
          <w:szCs w:val="22"/>
        </w:rPr>
        <w:t>今年</w:t>
      </w:r>
      <w:r>
        <w:rPr>
          <w:rFonts w:asciiTheme="minorEastAsia" w:eastAsiaTheme="minorEastAsia" w:hAnsiTheme="minorEastAsia" w:cs="宋体" w:hint="eastAsia"/>
          <w:color w:val="000000"/>
          <w:kern w:val="0"/>
          <w:sz w:val="22"/>
          <w:szCs w:val="22"/>
        </w:rPr>
        <w:t>1-4月国内累计进口铅精矿48.69万吨，同比增长9.41%。今年以来，进口比值不利、人民币贬值以及信贷紧缩等一系列因素其实不利于国内冶炼厂进口铅精矿，但是由于同期国内铅精矿供应有限，为了维持运转，部分企业又不得不进口原材料。但是在当前价格水平下，无论是使用进口矿还是国产矿，</w:t>
      </w:r>
      <w:r w:rsidR="006D4E2E">
        <w:rPr>
          <w:rFonts w:asciiTheme="minorEastAsia" w:eastAsiaTheme="minorEastAsia" w:hAnsiTheme="minorEastAsia" w:cs="宋体" w:hint="eastAsia"/>
          <w:color w:val="000000"/>
          <w:kern w:val="0"/>
          <w:sz w:val="22"/>
          <w:szCs w:val="22"/>
        </w:rPr>
        <w:t>企业</w:t>
      </w:r>
      <w:r w:rsidR="005F29A5">
        <w:rPr>
          <w:rFonts w:asciiTheme="minorEastAsia" w:eastAsiaTheme="minorEastAsia" w:hAnsiTheme="minorEastAsia" w:cs="宋体" w:hint="eastAsia"/>
          <w:color w:val="000000"/>
          <w:kern w:val="0"/>
          <w:sz w:val="22"/>
          <w:szCs w:val="22"/>
        </w:rPr>
        <w:t>想要获利都</w:t>
      </w:r>
      <w:r w:rsidR="006D4E2E">
        <w:rPr>
          <w:rFonts w:asciiTheme="minorEastAsia" w:eastAsiaTheme="minorEastAsia" w:hAnsiTheme="minorEastAsia" w:cs="宋体" w:hint="eastAsia"/>
          <w:color w:val="000000"/>
          <w:kern w:val="0"/>
          <w:sz w:val="22"/>
          <w:szCs w:val="22"/>
        </w:rPr>
        <w:t>相对较</w:t>
      </w:r>
      <w:r w:rsidR="005F29A5">
        <w:rPr>
          <w:rFonts w:asciiTheme="minorEastAsia" w:eastAsiaTheme="minorEastAsia" w:hAnsiTheme="minorEastAsia" w:cs="宋体" w:hint="eastAsia"/>
          <w:color w:val="000000"/>
          <w:kern w:val="0"/>
          <w:sz w:val="22"/>
          <w:szCs w:val="22"/>
        </w:rPr>
        <w:t>难</w:t>
      </w:r>
      <w:r>
        <w:rPr>
          <w:rFonts w:asciiTheme="minorEastAsia" w:eastAsiaTheme="minorEastAsia" w:hAnsiTheme="minorEastAsia" w:cs="宋体" w:hint="eastAsia"/>
          <w:color w:val="000000"/>
          <w:kern w:val="0"/>
          <w:sz w:val="22"/>
          <w:szCs w:val="22"/>
        </w:rPr>
        <w:t>。</w:t>
      </w:r>
    </w:p>
    <w:p w:rsidR="002F1695" w:rsidRDefault="00FF39CB" w:rsidP="00376D0D">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精炼铅</w:t>
      </w:r>
      <w:r w:rsidR="00B54AE6">
        <w:rPr>
          <w:rFonts w:asciiTheme="minorEastAsia" w:eastAsiaTheme="minorEastAsia" w:hAnsiTheme="minorEastAsia" w:cs="宋体" w:hint="eastAsia"/>
          <w:color w:val="000000"/>
          <w:kern w:val="0"/>
          <w:sz w:val="22"/>
          <w:szCs w:val="22"/>
        </w:rPr>
        <w:t>进出口</w:t>
      </w:r>
      <w:r w:rsidR="00376D0D" w:rsidRPr="00376D0D">
        <w:rPr>
          <w:rFonts w:asciiTheme="minorEastAsia" w:eastAsiaTheme="minorEastAsia" w:hAnsiTheme="minorEastAsia" w:cs="宋体" w:hint="eastAsia"/>
          <w:color w:val="000000"/>
          <w:kern w:val="0"/>
          <w:sz w:val="22"/>
          <w:szCs w:val="22"/>
        </w:rPr>
        <w:t>方面，</w:t>
      </w:r>
      <w:r w:rsidR="002D17CB">
        <w:rPr>
          <w:rFonts w:asciiTheme="minorEastAsia" w:eastAsiaTheme="minorEastAsia" w:hAnsiTheme="minorEastAsia" w:cs="宋体" w:hint="eastAsia"/>
          <w:color w:val="000000"/>
          <w:kern w:val="0"/>
          <w:sz w:val="22"/>
          <w:szCs w:val="22"/>
        </w:rPr>
        <w:t>2013年全年进口精炼</w:t>
      </w:r>
      <w:r w:rsidR="00376D0D" w:rsidRPr="00376D0D">
        <w:rPr>
          <w:rFonts w:asciiTheme="minorEastAsia" w:eastAsiaTheme="minorEastAsia" w:hAnsiTheme="minorEastAsia" w:cs="宋体" w:hint="eastAsia"/>
          <w:color w:val="000000"/>
          <w:kern w:val="0"/>
          <w:sz w:val="22"/>
          <w:szCs w:val="22"/>
        </w:rPr>
        <w:t>铅</w:t>
      </w:r>
      <w:r w:rsidR="002D17CB">
        <w:rPr>
          <w:rFonts w:asciiTheme="minorEastAsia" w:eastAsiaTheme="minorEastAsia" w:hAnsiTheme="minorEastAsia" w:cs="宋体" w:hint="eastAsia"/>
          <w:color w:val="000000"/>
          <w:kern w:val="0"/>
          <w:sz w:val="22"/>
          <w:szCs w:val="22"/>
        </w:rPr>
        <w:t>835</w:t>
      </w:r>
      <w:r w:rsidR="00376D0D" w:rsidRPr="00376D0D">
        <w:rPr>
          <w:rFonts w:asciiTheme="minorEastAsia" w:eastAsiaTheme="minorEastAsia" w:hAnsiTheme="minorEastAsia" w:cs="宋体" w:hint="eastAsia"/>
          <w:color w:val="000000"/>
          <w:kern w:val="0"/>
          <w:sz w:val="22"/>
          <w:szCs w:val="22"/>
        </w:rPr>
        <w:t>吨，累计同比</w:t>
      </w:r>
      <w:r w:rsidR="002D17CB">
        <w:rPr>
          <w:rFonts w:asciiTheme="minorEastAsia" w:eastAsiaTheme="minorEastAsia" w:hAnsiTheme="minorEastAsia" w:cs="宋体" w:hint="eastAsia"/>
          <w:color w:val="000000"/>
          <w:kern w:val="0"/>
          <w:sz w:val="22"/>
          <w:szCs w:val="22"/>
        </w:rPr>
        <w:t>大幅减少87.77%</w:t>
      </w:r>
      <w:r w:rsidR="00376D0D" w:rsidRPr="00376D0D">
        <w:rPr>
          <w:rFonts w:asciiTheme="minorEastAsia" w:eastAsiaTheme="minorEastAsia" w:hAnsiTheme="minorEastAsia" w:cs="宋体" w:hint="eastAsia"/>
          <w:color w:val="000000"/>
          <w:kern w:val="0"/>
          <w:sz w:val="22"/>
          <w:szCs w:val="22"/>
        </w:rPr>
        <w:t>。</w:t>
      </w:r>
      <w:r w:rsidR="002D17CB">
        <w:rPr>
          <w:rFonts w:asciiTheme="minorEastAsia" w:eastAsiaTheme="minorEastAsia" w:hAnsiTheme="minorEastAsia" w:cs="宋体" w:hint="eastAsia"/>
          <w:color w:val="000000"/>
          <w:kern w:val="0"/>
          <w:sz w:val="22"/>
          <w:szCs w:val="22"/>
        </w:rPr>
        <w:t>相反的，2013年全年国内出口精炼铅达2.19万吨，累计同比达到近9倍的增幅。</w:t>
      </w:r>
      <w:r w:rsidR="004235F5">
        <w:rPr>
          <w:rFonts w:asciiTheme="minorEastAsia" w:eastAsiaTheme="minorEastAsia" w:hAnsiTheme="minorEastAsia" w:cs="宋体" w:hint="eastAsia"/>
          <w:color w:val="000000"/>
          <w:kern w:val="0"/>
          <w:sz w:val="22"/>
          <w:szCs w:val="22"/>
        </w:rPr>
        <w:t>今年1-4月国内出口精炼铅1.08万吨，而进口量仅为89吨。</w:t>
      </w:r>
      <w:r w:rsidR="00376D0D" w:rsidRPr="00376D0D">
        <w:rPr>
          <w:rFonts w:asciiTheme="minorEastAsia" w:eastAsiaTheme="minorEastAsia" w:hAnsiTheme="minorEastAsia" w:cs="宋体" w:hint="eastAsia"/>
          <w:color w:val="000000"/>
          <w:kern w:val="0"/>
          <w:sz w:val="22"/>
          <w:szCs w:val="22"/>
        </w:rPr>
        <w:t>精炼铅出口量维持高位，而</w:t>
      </w:r>
      <w:r>
        <w:rPr>
          <w:rFonts w:asciiTheme="minorEastAsia" w:eastAsiaTheme="minorEastAsia" w:hAnsiTheme="minorEastAsia" w:cs="宋体" w:hint="eastAsia"/>
          <w:color w:val="000000"/>
          <w:kern w:val="0"/>
          <w:sz w:val="22"/>
          <w:szCs w:val="22"/>
        </w:rPr>
        <w:t>进</w:t>
      </w:r>
      <w:r w:rsidR="00376D0D" w:rsidRPr="00376D0D">
        <w:rPr>
          <w:rFonts w:asciiTheme="minorEastAsia" w:eastAsiaTheme="minorEastAsia" w:hAnsiTheme="minorEastAsia" w:cs="宋体" w:hint="eastAsia"/>
          <w:color w:val="000000"/>
          <w:kern w:val="0"/>
          <w:sz w:val="22"/>
          <w:szCs w:val="22"/>
        </w:rPr>
        <w:t>口量</w:t>
      </w:r>
      <w:r>
        <w:rPr>
          <w:rFonts w:asciiTheme="minorEastAsia" w:eastAsiaTheme="minorEastAsia" w:hAnsiTheme="minorEastAsia" w:cs="宋体" w:hint="eastAsia"/>
          <w:color w:val="000000"/>
          <w:kern w:val="0"/>
          <w:sz w:val="22"/>
          <w:szCs w:val="22"/>
        </w:rPr>
        <w:t>持续低迷，从一个侧面</w:t>
      </w:r>
      <w:r w:rsidR="00376D0D" w:rsidRPr="00376D0D">
        <w:rPr>
          <w:rFonts w:asciiTheme="minorEastAsia" w:eastAsiaTheme="minorEastAsia" w:hAnsiTheme="minorEastAsia" w:cs="宋体" w:hint="eastAsia"/>
          <w:color w:val="000000"/>
          <w:kern w:val="0"/>
          <w:sz w:val="22"/>
          <w:szCs w:val="22"/>
        </w:rPr>
        <w:t>体现了</w:t>
      </w:r>
      <w:r>
        <w:rPr>
          <w:rFonts w:asciiTheme="minorEastAsia" w:eastAsiaTheme="minorEastAsia" w:hAnsiTheme="minorEastAsia" w:cs="宋体" w:hint="eastAsia"/>
          <w:color w:val="000000"/>
          <w:kern w:val="0"/>
          <w:sz w:val="22"/>
          <w:szCs w:val="22"/>
        </w:rPr>
        <w:t>国内精炼铅产量基本满足国内需求，</w:t>
      </w:r>
      <w:r w:rsidR="00376D0D" w:rsidRPr="00376D0D">
        <w:rPr>
          <w:rFonts w:asciiTheme="minorEastAsia" w:eastAsiaTheme="minorEastAsia" w:hAnsiTheme="minorEastAsia" w:cs="宋体" w:hint="eastAsia"/>
          <w:color w:val="000000"/>
          <w:kern w:val="0"/>
          <w:sz w:val="22"/>
          <w:szCs w:val="22"/>
        </w:rPr>
        <w:t>全球需求的强劲</w:t>
      </w:r>
      <w:r>
        <w:rPr>
          <w:rFonts w:asciiTheme="minorEastAsia" w:eastAsiaTheme="minorEastAsia" w:hAnsiTheme="minorEastAsia" w:cs="宋体" w:hint="eastAsia"/>
          <w:color w:val="000000"/>
          <w:kern w:val="0"/>
          <w:sz w:val="22"/>
          <w:szCs w:val="22"/>
        </w:rPr>
        <w:t>以及全球精炼铅</w:t>
      </w:r>
      <w:r w:rsidR="00376D0D" w:rsidRPr="00376D0D">
        <w:rPr>
          <w:rFonts w:asciiTheme="minorEastAsia" w:eastAsiaTheme="minorEastAsia" w:hAnsiTheme="minorEastAsia" w:cs="宋体" w:hint="eastAsia"/>
          <w:color w:val="000000"/>
          <w:kern w:val="0"/>
          <w:sz w:val="22"/>
          <w:szCs w:val="22"/>
        </w:rPr>
        <w:t>货源</w:t>
      </w:r>
      <w:r>
        <w:rPr>
          <w:rFonts w:asciiTheme="minorEastAsia" w:eastAsiaTheme="minorEastAsia" w:hAnsiTheme="minorEastAsia" w:cs="宋体" w:hint="eastAsia"/>
          <w:color w:val="000000"/>
          <w:kern w:val="0"/>
          <w:sz w:val="22"/>
          <w:szCs w:val="22"/>
        </w:rPr>
        <w:t>紧张</w:t>
      </w:r>
      <w:r w:rsidR="00376D0D" w:rsidRPr="00376D0D">
        <w:rPr>
          <w:rFonts w:asciiTheme="minorEastAsia" w:eastAsiaTheme="minorEastAsia" w:hAnsiTheme="minorEastAsia" w:cs="宋体" w:hint="eastAsia"/>
          <w:color w:val="000000"/>
          <w:kern w:val="0"/>
          <w:sz w:val="22"/>
          <w:szCs w:val="22"/>
        </w:rPr>
        <w:t>的态势。</w:t>
      </w:r>
    </w:p>
    <w:p w:rsidR="00B54AE6" w:rsidRPr="0074574A" w:rsidRDefault="00B54AE6" w:rsidP="00376D0D">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加工费方面，据安泰科最新调研数据，3-4月份国内主流铅精矿加工费在1700元/吨上下，变化不大，进口铅精矿加工费在135美元/吨左右波动。</w:t>
      </w:r>
    </w:p>
    <w:p w:rsidR="00474E65" w:rsidRPr="009A044A" w:rsidRDefault="00474E65" w:rsidP="00474E65">
      <w:pPr>
        <w:pStyle w:val="a8"/>
        <w:keepNext/>
      </w:pPr>
      <w:r>
        <w:rPr>
          <w:rFonts w:hint="eastAsia"/>
        </w:rPr>
        <w:lastRenderedPageBreak/>
        <w:t>图表</w:t>
      </w:r>
      <w:r>
        <w:rPr>
          <w:rFonts w:hint="eastAsia"/>
        </w:rPr>
        <w:t xml:space="preserve"> </w:t>
      </w:r>
      <w:r w:rsidR="009056BA">
        <w:rPr>
          <w:rFonts w:hint="eastAsia"/>
        </w:rPr>
        <w:t>26</w:t>
      </w:r>
      <w:r>
        <w:rPr>
          <w:rFonts w:hint="eastAsia"/>
        </w:rPr>
        <w:t xml:space="preserve"> </w:t>
      </w:r>
      <w:r w:rsidR="00E6410A">
        <w:rPr>
          <w:rFonts w:hint="eastAsia"/>
        </w:rPr>
        <w:t>铅</w:t>
      </w:r>
      <w:r>
        <w:rPr>
          <w:rFonts w:hint="eastAsia"/>
        </w:rPr>
        <w:t>精矿进口数据</w:t>
      </w:r>
      <w:r>
        <w:rPr>
          <w:rFonts w:hint="eastAsia"/>
        </w:rPr>
        <w:t xml:space="preserve">                                      </w:t>
      </w:r>
      <w:r>
        <w:rPr>
          <w:rFonts w:hint="eastAsia"/>
        </w:rPr>
        <w:t>图表</w:t>
      </w:r>
      <w:r>
        <w:rPr>
          <w:rFonts w:hint="eastAsia"/>
        </w:rPr>
        <w:t xml:space="preserve"> </w:t>
      </w:r>
      <w:r w:rsidR="009056BA">
        <w:rPr>
          <w:rFonts w:hint="eastAsia"/>
        </w:rPr>
        <w:t>27</w:t>
      </w:r>
      <w:r>
        <w:rPr>
          <w:rFonts w:hint="eastAsia"/>
        </w:rPr>
        <w:t xml:space="preserve"> </w:t>
      </w:r>
      <w:r>
        <w:rPr>
          <w:rFonts w:hint="eastAsia"/>
        </w:rPr>
        <w:t>精炼</w:t>
      </w:r>
      <w:r w:rsidR="00E6410A">
        <w:rPr>
          <w:rFonts w:hint="eastAsia"/>
        </w:rPr>
        <w:t>铅</w:t>
      </w:r>
      <w:r>
        <w:rPr>
          <w:rFonts w:hint="eastAsia"/>
        </w:rPr>
        <w:t>进口数据</w:t>
      </w:r>
    </w:p>
    <w:tbl>
      <w:tblPr>
        <w:tblW w:w="11677" w:type="dxa"/>
        <w:jc w:val="center"/>
        <w:tblInd w:w="1030" w:type="dxa"/>
        <w:tblBorders>
          <w:top w:val="single" w:sz="12" w:space="0" w:color="C0504D"/>
          <w:bottom w:val="single" w:sz="12" w:space="0" w:color="C0504D"/>
          <w:insideH w:val="single" w:sz="4" w:space="0" w:color="auto"/>
        </w:tblBorders>
        <w:tblLook w:val="04A0"/>
      </w:tblPr>
      <w:tblGrid>
        <w:gridCol w:w="5766"/>
        <w:gridCol w:w="5911"/>
      </w:tblGrid>
      <w:tr w:rsidR="00474E65" w:rsidTr="005B7449">
        <w:trPr>
          <w:trHeight w:val="3969"/>
          <w:jc w:val="center"/>
        </w:trPr>
        <w:tc>
          <w:tcPr>
            <w:tcW w:w="5766" w:type="dxa"/>
          </w:tcPr>
          <w:p w:rsidR="00474E65" w:rsidRPr="009344A3" w:rsidRDefault="00C50D87" w:rsidP="00C50D87">
            <w:pPr>
              <w:tabs>
                <w:tab w:val="left" w:pos="1493"/>
              </w:tabs>
              <w:ind w:leftChars="-238" w:left="-500" w:rightChars="26" w:right="55" w:firstLineChars="153" w:firstLine="367"/>
              <w:jc w:val="right"/>
              <w:rPr>
                <w:rFonts w:ascii="宋体" w:cs="宋体"/>
                <w:color w:val="002C57"/>
                <w:kern w:val="0"/>
                <w:sz w:val="24"/>
                <w:lang w:val="zh-CN"/>
              </w:rPr>
            </w:pPr>
            <w:r w:rsidRPr="00C50D87">
              <w:rPr>
                <w:rFonts w:ascii="宋体" w:cs="宋体"/>
                <w:noProof/>
                <w:color w:val="002C57"/>
                <w:kern w:val="0"/>
                <w:sz w:val="24"/>
              </w:rPr>
              <w:drawing>
                <wp:inline distT="0" distB="0" distL="0" distR="0">
                  <wp:extent cx="3789274" cy="2538375"/>
                  <wp:effectExtent l="0" t="0" r="0" b="0"/>
                  <wp:docPr id="1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911" w:type="dxa"/>
          </w:tcPr>
          <w:p w:rsidR="00474E65" w:rsidRPr="009344A3" w:rsidRDefault="00C50D87" w:rsidP="005B7449">
            <w:pPr>
              <w:ind w:rightChars="-90" w:right="-189"/>
              <w:jc w:val="center"/>
              <w:rPr>
                <w:rFonts w:ascii="宋体" w:cs="宋体"/>
                <w:color w:val="002C57"/>
                <w:kern w:val="0"/>
                <w:sz w:val="24"/>
                <w:lang w:val="zh-CN"/>
              </w:rPr>
            </w:pPr>
            <w:r w:rsidRPr="00C50D87">
              <w:rPr>
                <w:rFonts w:ascii="宋体" w:cs="宋体"/>
                <w:noProof/>
                <w:color w:val="002C57"/>
                <w:kern w:val="0"/>
                <w:sz w:val="24"/>
              </w:rPr>
              <w:drawing>
                <wp:inline distT="0" distB="0" distL="0" distR="0">
                  <wp:extent cx="3650285" cy="2501799"/>
                  <wp:effectExtent l="0" t="0" r="0" b="0"/>
                  <wp:docPr id="1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474E65" w:rsidRPr="002268AB" w:rsidRDefault="00474E65" w:rsidP="00474E65">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sidR="00F909DA">
        <w:rPr>
          <w:rFonts w:hAnsi="宋体" w:hint="eastAsia"/>
          <w:bCs/>
          <w:color w:val="993300"/>
          <w:sz w:val="18"/>
          <w:szCs w:val="18"/>
        </w:rPr>
        <w:t>Wind</w:t>
      </w:r>
      <w:r>
        <w:rPr>
          <w:rFonts w:hAnsi="宋体" w:hint="eastAsia"/>
          <w:bCs/>
          <w:color w:val="993300"/>
          <w:sz w:val="18"/>
          <w:szCs w:val="18"/>
        </w:rPr>
        <w:t>，</w:t>
      </w:r>
      <w:r w:rsidRPr="004E44A4">
        <w:rPr>
          <w:rFonts w:hAnsi="宋体" w:hint="eastAsia"/>
          <w:bCs/>
          <w:color w:val="993300"/>
          <w:sz w:val="18"/>
          <w:szCs w:val="18"/>
        </w:rPr>
        <w:t>金源期货</w:t>
      </w:r>
    </w:p>
    <w:p w:rsidR="00477F68" w:rsidRPr="0021792B" w:rsidRDefault="00BD4E09" w:rsidP="00663B25">
      <w:pPr>
        <w:pStyle w:val="3"/>
        <w:numPr>
          <w:ilvl w:val="0"/>
          <w:numId w:val="26"/>
        </w:numPr>
        <w:spacing w:line="360" w:lineRule="auto"/>
        <w:rPr>
          <w:rFonts w:ascii="宋体" w:hAnsi="宋体"/>
          <w:color w:val="993300"/>
          <w:sz w:val="21"/>
          <w:szCs w:val="21"/>
        </w:rPr>
      </w:pPr>
      <w:bookmarkStart w:id="159" w:name="_Toc389830960"/>
      <w:r>
        <w:rPr>
          <w:rFonts w:ascii="宋体" w:hAnsi="宋体" w:hint="eastAsia"/>
          <w:color w:val="993300"/>
          <w:sz w:val="21"/>
          <w:szCs w:val="21"/>
        </w:rPr>
        <w:t>精铅消费</w:t>
      </w:r>
      <w:r w:rsidR="00C1317A">
        <w:rPr>
          <w:rFonts w:ascii="宋体" w:hAnsi="宋体" w:hint="eastAsia"/>
          <w:color w:val="993300"/>
          <w:sz w:val="21"/>
          <w:szCs w:val="21"/>
        </w:rPr>
        <w:t>增长强劲</w:t>
      </w:r>
      <w:bookmarkEnd w:id="159"/>
    </w:p>
    <w:p w:rsidR="00381D3B" w:rsidRDefault="002D446B" w:rsidP="00381D3B">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铅锭最主要的下游产业</w:t>
      </w:r>
      <w:r w:rsidR="00A76492">
        <w:rPr>
          <w:rFonts w:asciiTheme="minorEastAsia" w:eastAsiaTheme="minorEastAsia" w:hAnsiTheme="minorEastAsia" w:cs="宋体" w:hint="eastAsia"/>
          <w:color w:val="000000"/>
          <w:kern w:val="0"/>
          <w:sz w:val="22"/>
          <w:szCs w:val="22"/>
        </w:rPr>
        <w:t>就是</w:t>
      </w:r>
      <w:r>
        <w:rPr>
          <w:rFonts w:asciiTheme="minorEastAsia" w:eastAsiaTheme="minorEastAsia" w:hAnsiTheme="minorEastAsia" w:cs="宋体" w:hint="eastAsia"/>
          <w:color w:val="000000"/>
          <w:kern w:val="0"/>
          <w:sz w:val="22"/>
          <w:szCs w:val="22"/>
        </w:rPr>
        <w:t>铅蓄电池</w:t>
      </w:r>
      <w:r w:rsidR="00A76492">
        <w:rPr>
          <w:rFonts w:asciiTheme="minorEastAsia" w:eastAsiaTheme="minorEastAsia" w:hAnsiTheme="minorEastAsia" w:cs="宋体" w:hint="eastAsia"/>
          <w:color w:val="000000"/>
          <w:kern w:val="0"/>
          <w:sz w:val="22"/>
          <w:szCs w:val="22"/>
        </w:rPr>
        <w:t>行业，</w:t>
      </w:r>
      <w:r w:rsidR="006243F3" w:rsidRPr="001F0B9B">
        <w:rPr>
          <w:rFonts w:asciiTheme="minorEastAsia" w:eastAsiaTheme="minorEastAsia" w:hAnsiTheme="minorEastAsia" w:cs="宋体" w:hint="eastAsia"/>
          <w:color w:val="000000"/>
          <w:kern w:val="0"/>
          <w:sz w:val="22"/>
          <w:szCs w:val="22"/>
        </w:rPr>
        <w:t>占到</w:t>
      </w:r>
      <w:r w:rsidR="00A76492">
        <w:rPr>
          <w:rFonts w:asciiTheme="minorEastAsia" w:eastAsiaTheme="minorEastAsia" w:hAnsiTheme="minorEastAsia" w:cs="宋体" w:hint="eastAsia"/>
          <w:color w:val="000000"/>
          <w:kern w:val="0"/>
          <w:sz w:val="22"/>
          <w:szCs w:val="22"/>
        </w:rPr>
        <w:t>了</w:t>
      </w:r>
      <w:r w:rsidR="006243F3" w:rsidRPr="001F0B9B">
        <w:rPr>
          <w:rFonts w:asciiTheme="minorEastAsia" w:eastAsiaTheme="minorEastAsia" w:hAnsiTheme="minorEastAsia" w:cs="宋体" w:hint="eastAsia"/>
          <w:color w:val="000000"/>
          <w:kern w:val="0"/>
          <w:sz w:val="22"/>
          <w:szCs w:val="22"/>
        </w:rPr>
        <w:t>铅锭总</w:t>
      </w:r>
      <w:r w:rsidR="006243F3" w:rsidRPr="006243F3">
        <w:rPr>
          <w:rFonts w:asciiTheme="minorEastAsia" w:eastAsiaTheme="minorEastAsia" w:hAnsiTheme="minorEastAsia" w:cs="宋体" w:hint="eastAsia"/>
          <w:color w:val="000000"/>
          <w:kern w:val="0"/>
          <w:sz w:val="22"/>
          <w:szCs w:val="22"/>
        </w:rPr>
        <w:t>需求量</w:t>
      </w:r>
      <w:r w:rsidR="006243F3" w:rsidRPr="006243F3">
        <w:rPr>
          <w:rFonts w:asciiTheme="minorEastAsia" w:eastAsiaTheme="minorEastAsia" w:hAnsiTheme="minorEastAsia" w:cs="宋体"/>
          <w:color w:val="000000"/>
          <w:kern w:val="0"/>
          <w:sz w:val="22"/>
          <w:szCs w:val="22"/>
        </w:rPr>
        <w:t>75%-80%</w:t>
      </w:r>
      <w:r w:rsidR="006243F3" w:rsidRPr="006243F3">
        <w:rPr>
          <w:rFonts w:asciiTheme="minorEastAsia" w:eastAsiaTheme="minorEastAsia" w:hAnsiTheme="minorEastAsia" w:cs="宋体" w:hint="eastAsia"/>
          <w:color w:val="000000"/>
          <w:kern w:val="0"/>
          <w:sz w:val="22"/>
          <w:szCs w:val="22"/>
        </w:rPr>
        <w:t>。据国家统计局统计，</w:t>
      </w:r>
      <w:r w:rsidR="006243F3" w:rsidRPr="006243F3">
        <w:rPr>
          <w:rFonts w:asciiTheme="minorEastAsia" w:eastAsiaTheme="minorEastAsia" w:hAnsiTheme="minorEastAsia" w:cs="宋体"/>
          <w:color w:val="000000"/>
          <w:kern w:val="0"/>
          <w:sz w:val="22"/>
          <w:szCs w:val="22"/>
        </w:rPr>
        <w:t>2013</w:t>
      </w:r>
      <w:r w:rsidR="006243F3" w:rsidRPr="006243F3">
        <w:rPr>
          <w:rFonts w:asciiTheme="minorEastAsia" w:eastAsiaTheme="minorEastAsia" w:hAnsiTheme="minorEastAsia" w:cs="宋体" w:hint="eastAsia"/>
          <w:color w:val="000000"/>
          <w:kern w:val="0"/>
          <w:sz w:val="22"/>
          <w:szCs w:val="22"/>
        </w:rPr>
        <w:t>年</w:t>
      </w:r>
      <w:r w:rsidR="00AA237C">
        <w:rPr>
          <w:rFonts w:asciiTheme="minorEastAsia" w:eastAsiaTheme="minorEastAsia" w:hAnsiTheme="minorEastAsia" w:cs="宋体" w:hint="eastAsia"/>
          <w:color w:val="000000"/>
          <w:kern w:val="0"/>
          <w:sz w:val="22"/>
          <w:szCs w:val="22"/>
        </w:rPr>
        <w:t>全年</w:t>
      </w:r>
      <w:r w:rsidR="006243F3" w:rsidRPr="006243F3">
        <w:rPr>
          <w:rFonts w:asciiTheme="minorEastAsia" w:eastAsiaTheme="minorEastAsia" w:hAnsiTheme="minorEastAsia" w:cs="宋体" w:hint="eastAsia"/>
          <w:color w:val="000000"/>
          <w:kern w:val="0"/>
          <w:sz w:val="22"/>
          <w:szCs w:val="22"/>
        </w:rPr>
        <w:t>铅酸蓄电池累计产量为</w:t>
      </w:r>
      <w:r w:rsidR="00AA237C">
        <w:rPr>
          <w:rFonts w:asciiTheme="minorEastAsia" w:eastAsiaTheme="minorEastAsia" w:hAnsiTheme="minorEastAsia" w:cs="宋体" w:hint="eastAsia"/>
          <w:color w:val="000000"/>
          <w:kern w:val="0"/>
          <w:sz w:val="22"/>
          <w:szCs w:val="22"/>
        </w:rPr>
        <w:t>20502.74</w:t>
      </w:r>
      <w:r w:rsidR="006243F3" w:rsidRPr="006243F3">
        <w:rPr>
          <w:rFonts w:asciiTheme="minorEastAsia" w:eastAsiaTheme="minorEastAsia" w:hAnsiTheme="minorEastAsia" w:cs="宋体" w:hint="eastAsia"/>
          <w:color w:val="000000"/>
          <w:kern w:val="0"/>
          <w:sz w:val="22"/>
          <w:szCs w:val="22"/>
        </w:rPr>
        <w:t>万千伏安时，与</w:t>
      </w:r>
      <w:r w:rsidR="00A76492">
        <w:rPr>
          <w:rFonts w:asciiTheme="minorEastAsia" w:eastAsiaTheme="minorEastAsia" w:hAnsiTheme="minorEastAsia" w:cs="宋体" w:hint="eastAsia"/>
          <w:color w:val="000000"/>
          <w:kern w:val="0"/>
          <w:sz w:val="22"/>
          <w:szCs w:val="22"/>
        </w:rPr>
        <w:t>2012</w:t>
      </w:r>
      <w:r w:rsidR="006243F3" w:rsidRPr="006243F3">
        <w:rPr>
          <w:rFonts w:asciiTheme="minorEastAsia" w:eastAsiaTheme="minorEastAsia" w:hAnsiTheme="minorEastAsia" w:cs="宋体" w:hint="eastAsia"/>
          <w:color w:val="000000"/>
          <w:kern w:val="0"/>
          <w:sz w:val="22"/>
          <w:szCs w:val="22"/>
        </w:rPr>
        <w:t>年同期相比增加</w:t>
      </w:r>
      <w:r w:rsidR="006243F3" w:rsidRPr="006243F3">
        <w:rPr>
          <w:rFonts w:asciiTheme="minorEastAsia" w:eastAsiaTheme="minorEastAsia" w:hAnsiTheme="minorEastAsia" w:cs="宋体"/>
          <w:color w:val="000000"/>
          <w:kern w:val="0"/>
          <w:sz w:val="22"/>
          <w:szCs w:val="22"/>
        </w:rPr>
        <w:t>15.</w:t>
      </w:r>
      <w:r w:rsidR="00AA237C">
        <w:rPr>
          <w:rFonts w:asciiTheme="minorEastAsia" w:eastAsiaTheme="minorEastAsia" w:hAnsiTheme="minorEastAsia" w:cs="宋体" w:hint="eastAsia"/>
          <w:color w:val="000000"/>
          <w:kern w:val="0"/>
          <w:sz w:val="22"/>
          <w:szCs w:val="22"/>
        </w:rPr>
        <w:t>23</w:t>
      </w:r>
      <w:r w:rsidR="006243F3" w:rsidRPr="006243F3">
        <w:rPr>
          <w:rFonts w:asciiTheme="minorEastAsia" w:eastAsiaTheme="minorEastAsia" w:hAnsiTheme="minorEastAsia" w:cs="宋体"/>
          <w:color w:val="000000"/>
          <w:kern w:val="0"/>
          <w:sz w:val="22"/>
          <w:szCs w:val="22"/>
        </w:rPr>
        <w:t>%</w:t>
      </w:r>
      <w:r w:rsidR="00AA237C">
        <w:rPr>
          <w:rFonts w:asciiTheme="minorEastAsia" w:eastAsiaTheme="minorEastAsia" w:hAnsiTheme="minorEastAsia" w:cs="宋体" w:hint="eastAsia"/>
          <w:color w:val="000000"/>
          <w:kern w:val="0"/>
          <w:sz w:val="22"/>
          <w:szCs w:val="22"/>
        </w:rPr>
        <w:t>,2012年同期生产17486.2</w:t>
      </w:r>
      <w:r w:rsidR="00AA237C" w:rsidRPr="006243F3">
        <w:rPr>
          <w:rFonts w:asciiTheme="minorEastAsia" w:eastAsiaTheme="minorEastAsia" w:hAnsiTheme="minorEastAsia" w:cs="宋体" w:hint="eastAsia"/>
          <w:color w:val="000000"/>
          <w:kern w:val="0"/>
          <w:sz w:val="22"/>
          <w:szCs w:val="22"/>
        </w:rPr>
        <w:t>万千伏安</w:t>
      </w:r>
      <w:r w:rsidR="006243F3" w:rsidRPr="006243F3">
        <w:rPr>
          <w:rFonts w:asciiTheme="minorEastAsia" w:eastAsiaTheme="minorEastAsia" w:hAnsiTheme="minorEastAsia" w:cs="宋体" w:hint="eastAsia"/>
          <w:color w:val="000000"/>
          <w:kern w:val="0"/>
          <w:sz w:val="22"/>
          <w:szCs w:val="22"/>
        </w:rPr>
        <w:t>。</w:t>
      </w:r>
      <w:r w:rsidR="002F59E0">
        <w:rPr>
          <w:rFonts w:asciiTheme="minorEastAsia" w:eastAsiaTheme="minorEastAsia" w:hAnsiTheme="minorEastAsia" w:cs="宋体" w:hint="eastAsia"/>
          <w:color w:val="000000"/>
          <w:kern w:val="0"/>
          <w:sz w:val="22"/>
          <w:szCs w:val="22"/>
        </w:rPr>
        <w:t>这是中国铅酸蓄电池产量首次超过2万亿千伏安。</w:t>
      </w:r>
      <w:r w:rsidR="00D12E6E">
        <w:rPr>
          <w:rFonts w:asciiTheme="minorEastAsia" w:eastAsiaTheme="minorEastAsia" w:hAnsiTheme="minorEastAsia" w:cs="宋体" w:hint="eastAsia"/>
          <w:color w:val="000000"/>
          <w:kern w:val="0"/>
          <w:sz w:val="22"/>
          <w:szCs w:val="22"/>
        </w:rPr>
        <w:t>2014年1-4月</w:t>
      </w:r>
      <w:r w:rsidR="00B17761">
        <w:rPr>
          <w:rFonts w:asciiTheme="minorEastAsia" w:eastAsiaTheme="minorEastAsia" w:hAnsiTheme="minorEastAsia" w:cs="宋体" w:hint="eastAsia"/>
          <w:color w:val="000000"/>
          <w:kern w:val="0"/>
          <w:sz w:val="22"/>
          <w:szCs w:val="22"/>
        </w:rPr>
        <w:t>国内累计生产</w:t>
      </w:r>
      <w:r w:rsidR="00B17761" w:rsidRPr="006243F3">
        <w:rPr>
          <w:rFonts w:asciiTheme="minorEastAsia" w:eastAsiaTheme="minorEastAsia" w:hAnsiTheme="minorEastAsia" w:cs="宋体" w:hint="eastAsia"/>
          <w:color w:val="000000"/>
          <w:kern w:val="0"/>
          <w:sz w:val="22"/>
          <w:szCs w:val="22"/>
        </w:rPr>
        <w:t>铅酸蓄电池</w:t>
      </w:r>
      <w:r w:rsidR="00B17761">
        <w:rPr>
          <w:rFonts w:asciiTheme="minorEastAsia" w:eastAsiaTheme="minorEastAsia" w:hAnsiTheme="minorEastAsia" w:cs="宋体" w:hint="eastAsia"/>
          <w:color w:val="000000"/>
          <w:kern w:val="0"/>
          <w:sz w:val="22"/>
          <w:szCs w:val="22"/>
        </w:rPr>
        <w:t>6604.45</w:t>
      </w:r>
      <w:r w:rsidR="00B17761" w:rsidRPr="006243F3">
        <w:rPr>
          <w:rFonts w:asciiTheme="minorEastAsia" w:eastAsiaTheme="minorEastAsia" w:hAnsiTheme="minorEastAsia" w:cs="宋体" w:hint="eastAsia"/>
          <w:color w:val="000000"/>
          <w:kern w:val="0"/>
          <w:sz w:val="22"/>
          <w:szCs w:val="22"/>
        </w:rPr>
        <w:t>万千伏安</w:t>
      </w:r>
      <w:r w:rsidR="00B17761">
        <w:rPr>
          <w:rFonts w:asciiTheme="minorEastAsia" w:eastAsiaTheme="minorEastAsia" w:hAnsiTheme="minorEastAsia" w:cs="宋体" w:hint="eastAsia"/>
          <w:color w:val="000000"/>
          <w:kern w:val="0"/>
          <w:sz w:val="22"/>
          <w:szCs w:val="22"/>
        </w:rPr>
        <w:t>，同比增速达到8.16%。据上海有色网调研数据显示，今年</w:t>
      </w:r>
      <w:r w:rsidR="00B17761" w:rsidRPr="00B17761">
        <w:rPr>
          <w:rFonts w:asciiTheme="minorEastAsia" w:eastAsiaTheme="minorEastAsia" w:hAnsiTheme="minorEastAsia" w:cs="宋体"/>
          <w:color w:val="000000"/>
          <w:kern w:val="0"/>
          <w:sz w:val="22"/>
          <w:szCs w:val="22"/>
        </w:rPr>
        <w:t>4月份铅蓄电池企业整体开工率60.76%，较3月的58.42%上升2.34个百分点。从铅蓄电池各类型企业来看，只有起动型铅蓄电池企业开工率出现小幅下滑，从3月的65.54%下降至63.94%。动力型铅蓄电池企业4月开工率为51.11%，回升4.28个百分点</w:t>
      </w:r>
      <w:r w:rsidR="00B17761" w:rsidRPr="00B17761">
        <w:rPr>
          <w:rFonts w:asciiTheme="minorEastAsia" w:eastAsiaTheme="minorEastAsia" w:hAnsiTheme="minorEastAsia" w:cs="宋体" w:hint="eastAsia"/>
          <w:color w:val="000000"/>
          <w:kern w:val="0"/>
          <w:sz w:val="22"/>
          <w:szCs w:val="22"/>
        </w:rPr>
        <w:t>。</w:t>
      </w:r>
      <w:r w:rsidR="00B17761" w:rsidRPr="00B17761">
        <w:rPr>
          <w:rFonts w:asciiTheme="minorEastAsia" w:eastAsiaTheme="minorEastAsia" w:hAnsiTheme="minorEastAsia" w:cs="宋体"/>
          <w:color w:val="000000"/>
          <w:kern w:val="0"/>
          <w:sz w:val="22"/>
          <w:szCs w:val="22"/>
        </w:rPr>
        <w:t>固定型铅蓄电池开工率4月为70.05%，回升2.67个百分点。</w:t>
      </w:r>
      <w:r w:rsidR="00B17761">
        <w:rPr>
          <w:rFonts w:asciiTheme="minorEastAsia" w:eastAsiaTheme="minorEastAsia" w:hAnsiTheme="minorEastAsia" w:cs="宋体" w:hint="eastAsia"/>
          <w:color w:val="000000"/>
          <w:kern w:val="0"/>
          <w:sz w:val="22"/>
          <w:szCs w:val="22"/>
        </w:rPr>
        <w:t>汽车启动电池生产企业多签有</w:t>
      </w:r>
      <w:r w:rsidR="00381D3B">
        <w:rPr>
          <w:rFonts w:asciiTheme="minorEastAsia" w:eastAsiaTheme="minorEastAsia" w:hAnsiTheme="minorEastAsia" w:cs="宋体" w:hint="eastAsia"/>
          <w:color w:val="000000"/>
          <w:kern w:val="0"/>
          <w:sz w:val="22"/>
          <w:szCs w:val="22"/>
        </w:rPr>
        <w:t>长单</w:t>
      </w:r>
      <w:r w:rsidR="00B17761">
        <w:rPr>
          <w:rFonts w:asciiTheme="minorEastAsia" w:eastAsiaTheme="minorEastAsia" w:hAnsiTheme="minorEastAsia" w:cs="宋体" w:hint="eastAsia"/>
          <w:color w:val="000000"/>
          <w:kern w:val="0"/>
          <w:sz w:val="22"/>
          <w:szCs w:val="22"/>
        </w:rPr>
        <w:t>，适时逢低采购，今年情况可能稍好于去年。</w:t>
      </w:r>
    </w:p>
    <w:p w:rsidR="004A4B74" w:rsidRDefault="00381D3B" w:rsidP="00381D3B">
      <w:pPr>
        <w:spacing w:line="300" w:lineRule="auto"/>
        <w:ind w:firstLineChars="200" w:firstLine="44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终端消费方面，汽车产销继续保持稳定增长</w:t>
      </w:r>
      <w:r w:rsidR="003A41E7">
        <w:rPr>
          <w:rFonts w:asciiTheme="minorEastAsia" w:eastAsiaTheme="minorEastAsia" w:hAnsiTheme="minorEastAsia" w:cs="宋体" w:hint="eastAsia"/>
          <w:color w:val="000000"/>
          <w:kern w:val="0"/>
          <w:sz w:val="22"/>
          <w:szCs w:val="22"/>
        </w:rPr>
        <w:t>（已经在锌基本面里分析过，这里不再赘述）</w:t>
      </w:r>
      <w:r>
        <w:rPr>
          <w:rFonts w:asciiTheme="minorEastAsia" w:eastAsiaTheme="minorEastAsia" w:hAnsiTheme="minorEastAsia" w:cs="宋体" w:hint="eastAsia"/>
          <w:color w:val="000000"/>
          <w:kern w:val="0"/>
          <w:sz w:val="22"/>
          <w:szCs w:val="22"/>
        </w:rPr>
        <w:t>，一定程度上拉动精铅的消费。</w:t>
      </w:r>
      <w:r w:rsidR="00866A83">
        <w:rPr>
          <w:rFonts w:asciiTheme="minorEastAsia" w:eastAsiaTheme="minorEastAsia" w:hAnsiTheme="minorEastAsia" w:cs="宋体" w:hint="eastAsia"/>
          <w:color w:val="000000"/>
          <w:kern w:val="0"/>
          <w:sz w:val="22"/>
          <w:szCs w:val="22"/>
        </w:rPr>
        <w:t>移动基站建设方面，2013年</w:t>
      </w:r>
      <w:r w:rsidR="001C4049">
        <w:rPr>
          <w:rFonts w:asciiTheme="minorEastAsia" w:eastAsiaTheme="minorEastAsia" w:hAnsiTheme="minorEastAsia" w:cs="宋体" w:hint="eastAsia"/>
          <w:color w:val="000000"/>
          <w:kern w:val="0"/>
          <w:sz w:val="22"/>
          <w:szCs w:val="22"/>
        </w:rPr>
        <w:t>全年</w:t>
      </w:r>
      <w:r w:rsidR="00866A83" w:rsidRPr="00866A83">
        <w:rPr>
          <w:rFonts w:asciiTheme="minorEastAsia" w:eastAsiaTheme="minorEastAsia" w:hAnsiTheme="minorEastAsia" w:cs="宋体" w:hint="eastAsia"/>
          <w:color w:val="000000"/>
          <w:kern w:val="0"/>
          <w:sz w:val="22"/>
          <w:szCs w:val="22"/>
        </w:rPr>
        <w:t>移动通信基站设备</w:t>
      </w:r>
      <w:r w:rsidR="00866A83">
        <w:rPr>
          <w:rFonts w:asciiTheme="minorEastAsia" w:eastAsiaTheme="minorEastAsia" w:hAnsiTheme="minorEastAsia" w:cs="宋体" w:hint="eastAsia"/>
          <w:color w:val="000000"/>
          <w:kern w:val="0"/>
          <w:sz w:val="22"/>
          <w:szCs w:val="22"/>
        </w:rPr>
        <w:t>累计建设1</w:t>
      </w:r>
      <w:r w:rsidR="001C4049">
        <w:rPr>
          <w:rFonts w:asciiTheme="minorEastAsia" w:eastAsiaTheme="minorEastAsia" w:hAnsiTheme="minorEastAsia" w:cs="宋体" w:hint="eastAsia"/>
          <w:color w:val="000000"/>
          <w:kern w:val="0"/>
          <w:sz w:val="22"/>
          <w:szCs w:val="22"/>
        </w:rPr>
        <w:t>4248.53</w:t>
      </w:r>
      <w:r w:rsidR="00866A83">
        <w:rPr>
          <w:rFonts w:asciiTheme="minorEastAsia" w:eastAsiaTheme="minorEastAsia" w:hAnsiTheme="minorEastAsia" w:cs="宋体" w:hint="eastAsia"/>
          <w:color w:val="000000"/>
          <w:kern w:val="0"/>
          <w:sz w:val="22"/>
          <w:szCs w:val="22"/>
        </w:rPr>
        <w:t>万信道，较2012年同期上升</w:t>
      </w:r>
      <w:r w:rsidR="001C4049">
        <w:rPr>
          <w:rFonts w:asciiTheme="minorEastAsia" w:eastAsiaTheme="minorEastAsia" w:hAnsiTheme="minorEastAsia" w:cs="宋体" w:hint="eastAsia"/>
          <w:color w:val="000000"/>
          <w:kern w:val="0"/>
          <w:sz w:val="22"/>
          <w:szCs w:val="22"/>
        </w:rPr>
        <w:t>21.23</w:t>
      </w:r>
      <w:r w:rsidR="00866A83">
        <w:rPr>
          <w:rFonts w:asciiTheme="minorEastAsia" w:eastAsiaTheme="minorEastAsia" w:hAnsiTheme="minorEastAsia" w:cs="宋体" w:hint="eastAsia"/>
          <w:color w:val="000000"/>
          <w:kern w:val="0"/>
          <w:sz w:val="22"/>
          <w:szCs w:val="22"/>
        </w:rPr>
        <w:t>%。</w:t>
      </w:r>
      <w:r>
        <w:rPr>
          <w:rFonts w:asciiTheme="minorEastAsia" w:eastAsiaTheme="minorEastAsia" w:hAnsiTheme="minorEastAsia" w:cs="宋体" w:hint="eastAsia"/>
          <w:color w:val="000000"/>
          <w:kern w:val="0"/>
          <w:sz w:val="22"/>
          <w:szCs w:val="22"/>
        </w:rPr>
        <w:t>今年1-4月</w:t>
      </w:r>
      <w:r w:rsidRPr="00866A83">
        <w:rPr>
          <w:rFonts w:asciiTheme="minorEastAsia" w:eastAsiaTheme="minorEastAsia" w:hAnsiTheme="minorEastAsia" w:cs="宋体" w:hint="eastAsia"/>
          <w:color w:val="000000"/>
          <w:kern w:val="0"/>
          <w:sz w:val="22"/>
          <w:szCs w:val="22"/>
        </w:rPr>
        <w:t>移动通信基站设备</w:t>
      </w:r>
      <w:r>
        <w:rPr>
          <w:rFonts w:asciiTheme="minorEastAsia" w:eastAsiaTheme="minorEastAsia" w:hAnsiTheme="minorEastAsia" w:cs="宋体" w:hint="eastAsia"/>
          <w:color w:val="000000"/>
          <w:kern w:val="0"/>
          <w:sz w:val="22"/>
          <w:szCs w:val="22"/>
        </w:rPr>
        <w:t>累计建设9441.43万信道，累计同比增长158%</w:t>
      </w:r>
      <w:r w:rsidR="00866A83">
        <w:rPr>
          <w:rFonts w:asciiTheme="minorEastAsia" w:eastAsiaTheme="minorEastAsia" w:hAnsiTheme="minorEastAsia" w:cs="宋体" w:hint="eastAsia"/>
          <w:color w:val="000000"/>
          <w:kern w:val="0"/>
          <w:sz w:val="22"/>
          <w:szCs w:val="22"/>
        </w:rPr>
        <w:t>。</w:t>
      </w:r>
      <w:r>
        <w:rPr>
          <w:rFonts w:asciiTheme="minorEastAsia" w:eastAsiaTheme="minorEastAsia" w:hAnsiTheme="minorEastAsia" w:cs="宋体" w:hint="eastAsia"/>
          <w:color w:val="000000"/>
          <w:kern w:val="0"/>
          <w:sz w:val="22"/>
          <w:szCs w:val="22"/>
        </w:rPr>
        <w:t>如果说2013年我国移动通讯基站建设处于一个相对平稳时期，那么随着2013年底</w:t>
      </w:r>
      <w:r w:rsidRPr="006243F3">
        <w:rPr>
          <w:rFonts w:asciiTheme="minorEastAsia" w:eastAsiaTheme="minorEastAsia" w:hAnsiTheme="minorEastAsia" w:cs="宋体"/>
          <w:color w:val="000000"/>
          <w:kern w:val="0"/>
          <w:sz w:val="22"/>
          <w:szCs w:val="22"/>
        </w:rPr>
        <w:t>4G</w:t>
      </w:r>
      <w:r w:rsidRPr="006243F3">
        <w:rPr>
          <w:rFonts w:asciiTheme="minorEastAsia" w:eastAsiaTheme="minorEastAsia" w:hAnsiTheme="minorEastAsia" w:cs="宋体" w:hint="eastAsia"/>
          <w:color w:val="000000"/>
          <w:kern w:val="0"/>
          <w:sz w:val="22"/>
          <w:szCs w:val="22"/>
        </w:rPr>
        <w:t>牌照的发放，</w:t>
      </w:r>
      <w:r>
        <w:rPr>
          <w:rFonts w:asciiTheme="minorEastAsia" w:eastAsiaTheme="minorEastAsia" w:hAnsiTheme="minorEastAsia" w:cs="宋体" w:hint="eastAsia"/>
          <w:color w:val="000000"/>
          <w:kern w:val="0"/>
          <w:sz w:val="22"/>
          <w:szCs w:val="22"/>
        </w:rPr>
        <w:t>今年以来</w:t>
      </w:r>
      <w:r w:rsidRPr="006243F3">
        <w:rPr>
          <w:rFonts w:asciiTheme="minorEastAsia" w:eastAsiaTheme="minorEastAsia" w:hAnsiTheme="minorEastAsia" w:cs="宋体" w:hint="eastAsia"/>
          <w:color w:val="000000"/>
          <w:kern w:val="0"/>
          <w:sz w:val="22"/>
          <w:szCs w:val="22"/>
        </w:rPr>
        <w:t>电信、移动、联通等通信领域的投资</w:t>
      </w:r>
      <w:r>
        <w:rPr>
          <w:rFonts w:asciiTheme="minorEastAsia" w:eastAsiaTheme="minorEastAsia" w:hAnsiTheme="minorEastAsia" w:cs="宋体" w:hint="eastAsia"/>
          <w:color w:val="000000"/>
          <w:kern w:val="0"/>
          <w:sz w:val="22"/>
          <w:szCs w:val="22"/>
        </w:rPr>
        <w:t>增速翻番</w:t>
      </w:r>
      <w:r w:rsidRPr="006243F3">
        <w:rPr>
          <w:rFonts w:asciiTheme="minorEastAsia" w:eastAsiaTheme="minorEastAsia" w:hAnsiTheme="minorEastAsia" w:cs="宋体" w:hint="eastAsia"/>
          <w:color w:val="000000"/>
          <w:kern w:val="0"/>
          <w:sz w:val="22"/>
          <w:szCs w:val="22"/>
        </w:rPr>
        <w:t>，</w:t>
      </w:r>
      <w:r>
        <w:rPr>
          <w:rFonts w:asciiTheme="minorEastAsia" w:eastAsiaTheme="minorEastAsia" w:hAnsiTheme="minorEastAsia" w:cs="宋体" w:hint="eastAsia"/>
          <w:color w:val="000000"/>
          <w:kern w:val="0"/>
          <w:sz w:val="22"/>
          <w:szCs w:val="22"/>
        </w:rPr>
        <w:t>成为</w:t>
      </w:r>
      <w:r w:rsidRPr="006243F3">
        <w:rPr>
          <w:rFonts w:asciiTheme="minorEastAsia" w:eastAsiaTheme="minorEastAsia" w:hAnsiTheme="minorEastAsia" w:cs="宋体" w:hint="eastAsia"/>
          <w:color w:val="000000"/>
          <w:kern w:val="0"/>
          <w:sz w:val="22"/>
          <w:szCs w:val="22"/>
        </w:rPr>
        <w:t>拉动铅蓄电池的</w:t>
      </w:r>
      <w:r>
        <w:rPr>
          <w:rFonts w:asciiTheme="minorEastAsia" w:eastAsiaTheme="minorEastAsia" w:hAnsiTheme="minorEastAsia" w:cs="宋体" w:hint="eastAsia"/>
          <w:color w:val="000000"/>
          <w:kern w:val="0"/>
          <w:sz w:val="22"/>
          <w:szCs w:val="22"/>
        </w:rPr>
        <w:t>消费</w:t>
      </w:r>
      <w:r w:rsidRPr="006243F3">
        <w:rPr>
          <w:rFonts w:asciiTheme="minorEastAsia" w:eastAsiaTheme="minorEastAsia" w:hAnsiTheme="minorEastAsia" w:cs="宋体" w:hint="eastAsia"/>
          <w:color w:val="000000"/>
          <w:kern w:val="0"/>
          <w:sz w:val="22"/>
          <w:szCs w:val="22"/>
        </w:rPr>
        <w:t>增长</w:t>
      </w:r>
      <w:r>
        <w:rPr>
          <w:rFonts w:asciiTheme="minorEastAsia" w:eastAsiaTheme="minorEastAsia" w:hAnsiTheme="minorEastAsia" w:cs="宋体" w:hint="eastAsia"/>
          <w:color w:val="000000"/>
          <w:kern w:val="0"/>
          <w:sz w:val="22"/>
          <w:szCs w:val="22"/>
        </w:rPr>
        <w:t>亮点</w:t>
      </w:r>
      <w:r w:rsidR="00866A83">
        <w:rPr>
          <w:rFonts w:asciiTheme="minorEastAsia" w:eastAsiaTheme="minorEastAsia" w:hAnsiTheme="minorEastAsia" w:cs="宋体" w:hint="eastAsia"/>
          <w:color w:val="000000"/>
          <w:kern w:val="0"/>
          <w:sz w:val="22"/>
          <w:szCs w:val="22"/>
        </w:rPr>
        <w:t>。</w:t>
      </w:r>
    </w:p>
    <w:p w:rsidR="00474E65" w:rsidRPr="009A044A" w:rsidRDefault="00474E65" w:rsidP="00474E65">
      <w:pPr>
        <w:pStyle w:val="a8"/>
        <w:keepNext/>
      </w:pPr>
      <w:bookmarkStart w:id="160" w:name="_Toc265758841"/>
      <w:bookmarkStart w:id="161" w:name="_Toc274378947"/>
      <w:bookmarkStart w:id="162" w:name="_Toc329682362"/>
      <w:bookmarkStart w:id="163" w:name="_Toc340436177"/>
      <w:r>
        <w:rPr>
          <w:rFonts w:hint="eastAsia"/>
        </w:rPr>
        <w:lastRenderedPageBreak/>
        <w:t>图表</w:t>
      </w:r>
      <w:r>
        <w:rPr>
          <w:rFonts w:hint="eastAsia"/>
        </w:rPr>
        <w:t xml:space="preserve"> </w:t>
      </w:r>
      <w:r w:rsidR="009056BA">
        <w:rPr>
          <w:rFonts w:hint="eastAsia"/>
        </w:rPr>
        <w:t>28</w:t>
      </w:r>
      <w:r>
        <w:rPr>
          <w:rFonts w:hint="eastAsia"/>
        </w:rPr>
        <w:t xml:space="preserve"> </w:t>
      </w:r>
      <w:r>
        <w:rPr>
          <w:rFonts w:hint="eastAsia"/>
        </w:rPr>
        <w:t>铅酸蓄电池产量数据</w:t>
      </w:r>
      <w:r>
        <w:rPr>
          <w:rFonts w:hint="eastAsia"/>
        </w:rPr>
        <w:t xml:space="preserve">                                 </w:t>
      </w:r>
      <w:r>
        <w:rPr>
          <w:rFonts w:hint="eastAsia"/>
        </w:rPr>
        <w:t>图表</w:t>
      </w:r>
      <w:r>
        <w:rPr>
          <w:rFonts w:hint="eastAsia"/>
        </w:rPr>
        <w:t xml:space="preserve"> </w:t>
      </w:r>
      <w:r w:rsidR="009056BA">
        <w:rPr>
          <w:rFonts w:hint="eastAsia"/>
        </w:rPr>
        <w:t>29</w:t>
      </w:r>
      <w:r>
        <w:rPr>
          <w:rFonts w:hint="eastAsia"/>
        </w:rPr>
        <w:t xml:space="preserve"> </w:t>
      </w:r>
      <w:r>
        <w:rPr>
          <w:rFonts w:hint="eastAsia"/>
        </w:rPr>
        <w:t>移动基站产量数据</w:t>
      </w:r>
    </w:p>
    <w:tbl>
      <w:tblPr>
        <w:tblW w:w="11677" w:type="dxa"/>
        <w:jc w:val="center"/>
        <w:tblInd w:w="1030" w:type="dxa"/>
        <w:tblBorders>
          <w:top w:val="single" w:sz="12" w:space="0" w:color="C0504D"/>
          <w:bottom w:val="single" w:sz="12" w:space="0" w:color="C0504D"/>
          <w:insideH w:val="single" w:sz="4" w:space="0" w:color="auto"/>
        </w:tblBorders>
        <w:tblLook w:val="04A0"/>
      </w:tblPr>
      <w:tblGrid>
        <w:gridCol w:w="5766"/>
        <w:gridCol w:w="5911"/>
      </w:tblGrid>
      <w:tr w:rsidR="00474E65" w:rsidTr="005B7449">
        <w:trPr>
          <w:trHeight w:val="3969"/>
          <w:jc w:val="center"/>
        </w:trPr>
        <w:tc>
          <w:tcPr>
            <w:tcW w:w="5766" w:type="dxa"/>
          </w:tcPr>
          <w:p w:rsidR="00474E65" w:rsidRPr="009344A3" w:rsidRDefault="00F32128" w:rsidP="00F32128">
            <w:pPr>
              <w:tabs>
                <w:tab w:val="left" w:pos="1493"/>
              </w:tabs>
              <w:ind w:leftChars="-238" w:left="-500" w:rightChars="26" w:right="55" w:firstLineChars="153" w:firstLine="367"/>
              <w:jc w:val="right"/>
              <w:rPr>
                <w:rFonts w:ascii="宋体" w:cs="宋体"/>
                <w:color w:val="002C57"/>
                <w:kern w:val="0"/>
                <w:sz w:val="24"/>
                <w:lang w:val="zh-CN"/>
              </w:rPr>
            </w:pPr>
            <w:r w:rsidRPr="00F32128">
              <w:rPr>
                <w:rFonts w:ascii="宋体" w:cs="宋体"/>
                <w:noProof/>
                <w:color w:val="002C57"/>
                <w:kern w:val="0"/>
                <w:sz w:val="24"/>
              </w:rPr>
              <w:drawing>
                <wp:inline distT="0" distB="0" distL="0" distR="0">
                  <wp:extent cx="3789274" cy="2699308"/>
                  <wp:effectExtent l="0" t="0" r="0" b="0"/>
                  <wp:docPr id="2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911" w:type="dxa"/>
          </w:tcPr>
          <w:p w:rsidR="00474E65" w:rsidRPr="009344A3" w:rsidRDefault="00474E65" w:rsidP="005B7449">
            <w:pPr>
              <w:ind w:rightChars="-90" w:right="-189"/>
              <w:jc w:val="center"/>
              <w:rPr>
                <w:rFonts w:ascii="宋体" w:cs="宋体"/>
                <w:color w:val="002C57"/>
                <w:kern w:val="0"/>
                <w:sz w:val="24"/>
                <w:lang w:val="zh-CN"/>
              </w:rPr>
            </w:pPr>
            <w:r w:rsidRPr="00CD016C">
              <w:rPr>
                <w:rFonts w:ascii="宋体" w:cs="宋体"/>
                <w:noProof/>
                <w:color w:val="002C57"/>
                <w:kern w:val="0"/>
                <w:sz w:val="24"/>
              </w:rPr>
              <w:drawing>
                <wp:inline distT="0" distB="0" distL="0" distR="0">
                  <wp:extent cx="3730472" cy="2743200"/>
                  <wp:effectExtent l="0" t="0" r="0" b="0"/>
                  <wp:docPr id="5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474E65" w:rsidRPr="009D58B9" w:rsidRDefault="00474E65" w:rsidP="00474E65">
      <w:pPr>
        <w:topLinePunct/>
        <w:adjustRightInd w:val="0"/>
        <w:snapToGrid w:val="0"/>
        <w:spacing w:line="300" w:lineRule="auto"/>
        <w:jc w:val="left"/>
        <w:rPr>
          <w:rFonts w:hAnsi="宋体"/>
          <w:bCs/>
          <w:color w:val="993300"/>
          <w:sz w:val="18"/>
          <w:szCs w:val="18"/>
        </w:rPr>
      </w:pPr>
      <w:r w:rsidRPr="004E44A4">
        <w:rPr>
          <w:rFonts w:hAnsi="宋体" w:hint="eastAsia"/>
          <w:bCs/>
          <w:color w:val="993300"/>
          <w:sz w:val="18"/>
          <w:szCs w:val="18"/>
        </w:rPr>
        <w:t>数据来源：</w:t>
      </w:r>
      <w:r>
        <w:rPr>
          <w:rFonts w:hAnsi="宋体" w:hint="eastAsia"/>
          <w:bCs/>
          <w:color w:val="993300"/>
          <w:sz w:val="18"/>
          <w:szCs w:val="18"/>
        </w:rPr>
        <w:t>WIND</w:t>
      </w:r>
      <w:r>
        <w:rPr>
          <w:rFonts w:hAnsi="宋体" w:hint="eastAsia"/>
          <w:bCs/>
          <w:color w:val="993300"/>
          <w:sz w:val="18"/>
          <w:szCs w:val="18"/>
        </w:rPr>
        <w:t>，</w:t>
      </w:r>
      <w:r w:rsidRPr="004E44A4">
        <w:rPr>
          <w:rFonts w:hAnsi="宋体" w:hint="eastAsia"/>
          <w:bCs/>
          <w:color w:val="993300"/>
          <w:sz w:val="18"/>
          <w:szCs w:val="18"/>
        </w:rPr>
        <w:t>金源期货</w:t>
      </w:r>
    </w:p>
    <w:p w:rsidR="00477F68" w:rsidRPr="0021792B" w:rsidRDefault="00D15C18" w:rsidP="0021792B">
      <w:pPr>
        <w:pStyle w:val="1"/>
        <w:spacing w:line="480" w:lineRule="auto"/>
        <w:rPr>
          <w:rFonts w:ascii="宋体" w:hAnsi="宋体"/>
          <w:color w:val="993300"/>
          <w:sz w:val="32"/>
          <w:szCs w:val="32"/>
        </w:rPr>
      </w:pPr>
      <w:bookmarkStart w:id="164" w:name="_Toc389830961"/>
      <w:r w:rsidRPr="0021792B">
        <w:rPr>
          <w:rFonts w:ascii="宋体" w:hAnsi="宋体"/>
          <w:color w:val="993300"/>
          <w:sz w:val="32"/>
          <w:szCs w:val="32"/>
        </w:rPr>
        <w:t>第</w:t>
      </w:r>
      <w:r w:rsidR="009034D9" w:rsidRPr="0021792B">
        <w:rPr>
          <w:rFonts w:ascii="宋体" w:hAnsi="宋体" w:hint="eastAsia"/>
          <w:color w:val="993300"/>
          <w:sz w:val="32"/>
          <w:szCs w:val="32"/>
        </w:rPr>
        <w:t>四</w:t>
      </w:r>
      <w:r w:rsidRPr="0021792B">
        <w:rPr>
          <w:rFonts w:ascii="宋体" w:hAnsi="宋体"/>
          <w:color w:val="993300"/>
          <w:sz w:val="32"/>
          <w:szCs w:val="32"/>
        </w:rPr>
        <w:t>部分</w:t>
      </w:r>
      <w:r w:rsidRPr="0021792B">
        <w:rPr>
          <w:rFonts w:ascii="宋体" w:hAnsi="宋体"/>
          <w:color w:val="993300"/>
          <w:sz w:val="32"/>
          <w:szCs w:val="32"/>
        </w:rPr>
        <w:tab/>
      </w:r>
      <w:r w:rsidRPr="0021792B">
        <w:rPr>
          <w:rFonts w:ascii="宋体" w:hAnsi="宋体"/>
          <w:color w:val="993300"/>
          <w:sz w:val="32"/>
          <w:szCs w:val="32"/>
        </w:rPr>
        <w:tab/>
        <w:t>总结与后市展望</w:t>
      </w:r>
      <w:bookmarkEnd w:id="132"/>
      <w:bookmarkEnd w:id="160"/>
      <w:bookmarkEnd w:id="161"/>
      <w:bookmarkEnd w:id="162"/>
      <w:bookmarkEnd w:id="163"/>
      <w:bookmarkEnd w:id="164"/>
    </w:p>
    <w:p w:rsidR="00D15C18" w:rsidRPr="0021792B" w:rsidRDefault="00DC6A7A" w:rsidP="0021792B">
      <w:pPr>
        <w:pStyle w:val="3"/>
        <w:spacing w:line="360" w:lineRule="auto"/>
        <w:rPr>
          <w:rFonts w:ascii="宋体" w:hAnsi="宋体"/>
          <w:color w:val="993300"/>
          <w:sz w:val="21"/>
          <w:szCs w:val="21"/>
        </w:rPr>
      </w:pPr>
      <w:bookmarkStart w:id="165" w:name="_Toc389830962"/>
      <w:r>
        <w:rPr>
          <w:rFonts w:ascii="宋体" w:hAnsi="宋体" w:hint="eastAsia"/>
          <w:color w:val="993300"/>
          <w:sz w:val="21"/>
          <w:szCs w:val="21"/>
        </w:rPr>
        <w:t>1、</w:t>
      </w:r>
      <w:r w:rsidR="00477F68" w:rsidRPr="0021792B">
        <w:rPr>
          <w:rFonts w:ascii="宋体" w:hAnsi="宋体" w:hint="eastAsia"/>
          <w:color w:val="993300"/>
          <w:sz w:val="21"/>
          <w:szCs w:val="21"/>
        </w:rPr>
        <w:t>锌价展望</w:t>
      </w:r>
      <w:bookmarkEnd w:id="165"/>
      <w:r w:rsidR="00D15C18" w:rsidRPr="0021792B">
        <w:rPr>
          <w:rFonts w:ascii="宋体" w:hAnsi="宋体"/>
          <w:color w:val="993300"/>
          <w:sz w:val="21"/>
          <w:szCs w:val="21"/>
        </w:rPr>
        <w:t xml:space="preserve"> </w:t>
      </w:r>
    </w:p>
    <w:p w:rsidR="000839FC" w:rsidRPr="000F389B" w:rsidRDefault="000C7927" w:rsidP="001D075D">
      <w:pPr>
        <w:spacing w:line="300" w:lineRule="auto"/>
        <w:ind w:firstLine="420"/>
        <w:rPr>
          <w:rFonts w:asciiTheme="minorEastAsia" w:eastAsiaTheme="minorEastAsia" w:hAnsiTheme="minorEastAsia" w:cs="宋体"/>
          <w:color w:val="000000"/>
          <w:kern w:val="0"/>
          <w:sz w:val="22"/>
          <w:szCs w:val="22"/>
        </w:rPr>
      </w:pPr>
      <w:r>
        <w:rPr>
          <w:rFonts w:asciiTheme="minorEastAsia" w:eastAsiaTheme="minorEastAsia" w:hAnsiTheme="minorEastAsia" w:cs="宋体" w:hint="eastAsia"/>
          <w:color w:val="000000"/>
          <w:kern w:val="0"/>
          <w:sz w:val="22"/>
          <w:szCs w:val="22"/>
        </w:rPr>
        <w:t>宏观面，欧美国家经济回暖迹象明显，但整体需求仍处于恢复性增长阶段</w:t>
      </w:r>
      <w:r w:rsidRPr="009B194B">
        <w:rPr>
          <w:rFonts w:asciiTheme="minorEastAsia" w:eastAsiaTheme="minorEastAsia" w:hAnsiTheme="minorEastAsia" w:cs="宋体" w:hint="eastAsia"/>
          <w:color w:val="000000"/>
          <w:kern w:val="0"/>
          <w:sz w:val="22"/>
          <w:szCs w:val="22"/>
        </w:rPr>
        <w:t>，经济前景仍需进一步确认</w:t>
      </w:r>
      <w:r>
        <w:rPr>
          <w:rFonts w:asciiTheme="minorEastAsia" w:eastAsiaTheme="minorEastAsia" w:hAnsiTheme="minorEastAsia" w:cs="宋体" w:hint="eastAsia"/>
          <w:color w:val="000000"/>
          <w:kern w:val="0"/>
          <w:sz w:val="22"/>
          <w:szCs w:val="22"/>
        </w:rPr>
        <w:t>。中国经济正处于转型期，需求增速或受一定抑制。总体来说，当前金属的运行环境比较平稳，今年下半年宏观大环境不会有太多变化。基本面来看，全球市场连续两年供应短缺，消费情况稳中有增，交易所库存持续下滑，全球锌市场基本面在好转，锌价在成本区徘徊已久，底部支撑较强。</w:t>
      </w:r>
      <w:r w:rsidR="0084104D">
        <w:rPr>
          <w:rFonts w:asciiTheme="minorEastAsia" w:eastAsiaTheme="minorEastAsia" w:hAnsiTheme="minorEastAsia" w:cs="宋体" w:hint="eastAsia"/>
          <w:color w:val="000000"/>
          <w:kern w:val="0"/>
          <w:sz w:val="22"/>
          <w:szCs w:val="22"/>
        </w:rPr>
        <w:t>在全球经济相对较为平稳的大环境下，锌的消费趋向稳定增长，市场波动更多依赖于供给方面的变化。供给端来看</w:t>
      </w:r>
      <w:r w:rsidR="0041134E" w:rsidRPr="0041134E">
        <w:rPr>
          <w:rFonts w:asciiTheme="minorEastAsia" w:eastAsiaTheme="minorEastAsia" w:hAnsiTheme="minorEastAsia" w:cs="宋体" w:hint="eastAsia"/>
          <w:color w:val="000000"/>
          <w:kern w:val="0"/>
          <w:sz w:val="22"/>
          <w:szCs w:val="22"/>
        </w:rPr>
        <w:t>，</w:t>
      </w:r>
      <w:r w:rsidR="009B194B">
        <w:rPr>
          <w:rFonts w:asciiTheme="minorEastAsia" w:eastAsiaTheme="minorEastAsia" w:hAnsiTheme="minorEastAsia" w:cs="宋体" w:hint="eastAsia"/>
          <w:color w:val="000000"/>
          <w:kern w:val="0"/>
          <w:sz w:val="22"/>
          <w:szCs w:val="22"/>
        </w:rPr>
        <w:t>全球</w:t>
      </w:r>
      <w:r w:rsidR="0084104D">
        <w:rPr>
          <w:rFonts w:asciiTheme="minorEastAsia" w:eastAsiaTheme="minorEastAsia" w:hAnsiTheme="minorEastAsia" w:cs="宋体" w:hint="eastAsia"/>
          <w:color w:val="000000"/>
          <w:kern w:val="0"/>
          <w:sz w:val="22"/>
          <w:szCs w:val="22"/>
        </w:rPr>
        <w:t>精炼锌过剩状况明显缓解，而过剩基本集中在中国。</w:t>
      </w:r>
      <w:r>
        <w:rPr>
          <w:rFonts w:asciiTheme="minorEastAsia" w:eastAsiaTheme="minorEastAsia" w:hAnsiTheme="minorEastAsia" w:cs="宋体" w:hint="eastAsia"/>
          <w:color w:val="000000"/>
          <w:kern w:val="0"/>
          <w:sz w:val="22"/>
          <w:szCs w:val="22"/>
        </w:rPr>
        <w:t>国内冶炼能力持续扩大，加上既有的产能，在原料供应充足的情况下，国内精锌产量预计将保持稳步</w:t>
      </w:r>
      <w:r w:rsidR="0084104D">
        <w:rPr>
          <w:rFonts w:asciiTheme="minorEastAsia" w:eastAsiaTheme="minorEastAsia" w:hAnsiTheme="minorEastAsia" w:cs="宋体" w:hint="eastAsia"/>
          <w:color w:val="000000"/>
          <w:kern w:val="0"/>
          <w:sz w:val="22"/>
          <w:szCs w:val="22"/>
        </w:rPr>
        <w:t>增长</w:t>
      </w:r>
      <w:r>
        <w:rPr>
          <w:rFonts w:asciiTheme="minorEastAsia" w:eastAsiaTheme="minorEastAsia" w:hAnsiTheme="minorEastAsia" w:cs="宋体" w:hint="eastAsia"/>
          <w:color w:val="000000"/>
          <w:kern w:val="0"/>
          <w:sz w:val="22"/>
          <w:szCs w:val="22"/>
        </w:rPr>
        <w:t>的</w:t>
      </w:r>
      <w:r w:rsidR="0084104D">
        <w:rPr>
          <w:rFonts w:asciiTheme="minorEastAsia" w:eastAsiaTheme="minorEastAsia" w:hAnsiTheme="minorEastAsia" w:cs="宋体" w:hint="eastAsia"/>
          <w:color w:val="000000"/>
          <w:kern w:val="0"/>
          <w:sz w:val="22"/>
          <w:szCs w:val="22"/>
        </w:rPr>
        <w:t>势头。</w:t>
      </w:r>
      <w:r>
        <w:rPr>
          <w:rFonts w:asciiTheme="minorEastAsia" w:eastAsiaTheme="minorEastAsia" w:hAnsiTheme="minorEastAsia" w:cs="宋体" w:hint="eastAsia"/>
          <w:color w:val="000000"/>
          <w:kern w:val="0"/>
          <w:sz w:val="22"/>
          <w:szCs w:val="22"/>
        </w:rPr>
        <w:t>在中国产量居高不下维持稳定增长的背景下，预计2014年锌价上涨依然乏力，但底部支撑较强，年平均价预计略高于2013年，LME锌价在1900-2300美元/吨之间，上期所期锌在14500-16100元/吨之间。</w:t>
      </w:r>
      <w:r w:rsidRPr="000F389B">
        <w:rPr>
          <w:rFonts w:asciiTheme="minorEastAsia" w:eastAsiaTheme="minorEastAsia" w:hAnsiTheme="minorEastAsia" w:cs="宋体"/>
          <w:color w:val="000000"/>
          <w:kern w:val="0"/>
          <w:sz w:val="22"/>
          <w:szCs w:val="22"/>
        </w:rPr>
        <w:t xml:space="preserve"> </w:t>
      </w:r>
    </w:p>
    <w:p w:rsidR="00477F68" w:rsidRPr="0021792B" w:rsidRDefault="0017154A" w:rsidP="0021792B">
      <w:pPr>
        <w:pStyle w:val="3"/>
        <w:spacing w:line="360" w:lineRule="auto"/>
        <w:rPr>
          <w:rFonts w:ascii="宋体" w:hAnsi="宋体"/>
          <w:color w:val="993300"/>
          <w:sz w:val="21"/>
          <w:szCs w:val="21"/>
        </w:rPr>
      </w:pPr>
      <w:bookmarkStart w:id="166" w:name="_Toc389830963"/>
      <w:r>
        <w:rPr>
          <w:rFonts w:ascii="宋体" w:hAnsi="宋体" w:hint="eastAsia"/>
          <w:color w:val="993300"/>
          <w:sz w:val="21"/>
          <w:szCs w:val="21"/>
        </w:rPr>
        <w:t>2、</w:t>
      </w:r>
      <w:r w:rsidR="00477F68" w:rsidRPr="0021792B">
        <w:rPr>
          <w:rFonts w:ascii="宋体" w:hAnsi="宋体" w:hint="eastAsia"/>
          <w:color w:val="993300"/>
          <w:sz w:val="21"/>
          <w:szCs w:val="21"/>
        </w:rPr>
        <w:t>铅价展望</w:t>
      </w:r>
      <w:bookmarkEnd w:id="166"/>
      <w:r w:rsidR="00477F68" w:rsidRPr="0021792B">
        <w:rPr>
          <w:rFonts w:ascii="宋体" w:hAnsi="宋体"/>
          <w:color w:val="993300"/>
          <w:sz w:val="21"/>
          <w:szCs w:val="21"/>
        </w:rPr>
        <w:t xml:space="preserve"> </w:t>
      </w:r>
    </w:p>
    <w:p w:rsidR="005B7449" w:rsidRPr="000F389B" w:rsidRDefault="0041134E" w:rsidP="005B7449">
      <w:pPr>
        <w:spacing w:line="300" w:lineRule="auto"/>
        <w:ind w:firstLine="420"/>
        <w:rPr>
          <w:rFonts w:asciiTheme="minorEastAsia" w:eastAsiaTheme="minorEastAsia" w:hAnsiTheme="minorEastAsia" w:cs="宋体"/>
          <w:color w:val="000000"/>
          <w:kern w:val="0"/>
          <w:sz w:val="22"/>
          <w:szCs w:val="22"/>
        </w:rPr>
      </w:pPr>
      <w:r w:rsidRPr="00E12BD4">
        <w:rPr>
          <w:rFonts w:asciiTheme="minorEastAsia" w:eastAsiaTheme="minorEastAsia" w:hAnsiTheme="minorEastAsia" w:cs="宋体" w:hint="eastAsia"/>
          <w:color w:val="000000"/>
          <w:kern w:val="0"/>
          <w:sz w:val="22"/>
          <w:szCs w:val="22"/>
        </w:rPr>
        <w:t>从供给端看，</w:t>
      </w:r>
      <w:r w:rsidR="006D1182">
        <w:rPr>
          <w:rFonts w:asciiTheme="minorEastAsia" w:eastAsiaTheme="minorEastAsia" w:hAnsiTheme="minorEastAsia" w:cs="宋体" w:hint="eastAsia"/>
          <w:color w:val="000000"/>
          <w:kern w:val="0"/>
          <w:sz w:val="22"/>
          <w:szCs w:val="22"/>
        </w:rPr>
        <w:t>全球铅精矿资源仍然缺乏</w:t>
      </w:r>
      <w:r w:rsidR="00191399">
        <w:rPr>
          <w:rFonts w:asciiTheme="minorEastAsia" w:eastAsiaTheme="minorEastAsia" w:hAnsiTheme="minorEastAsia" w:cs="宋体" w:hint="eastAsia"/>
          <w:color w:val="000000"/>
          <w:kern w:val="0"/>
          <w:sz w:val="22"/>
          <w:szCs w:val="22"/>
        </w:rPr>
        <w:t>，精炼铅供应面总体趋紧，</w:t>
      </w:r>
      <w:r w:rsidR="00A11346">
        <w:rPr>
          <w:rFonts w:asciiTheme="minorEastAsia" w:eastAsiaTheme="minorEastAsia" w:hAnsiTheme="minorEastAsia" w:cs="宋体" w:hint="eastAsia"/>
          <w:color w:val="000000"/>
          <w:kern w:val="0"/>
          <w:sz w:val="22"/>
          <w:szCs w:val="22"/>
        </w:rPr>
        <w:t>中国精炼铅出口持续减少，西方市场供应料依旧保持紧缺格局，</w:t>
      </w:r>
      <w:r w:rsidR="00191399">
        <w:rPr>
          <w:rFonts w:asciiTheme="minorEastAsia" w:eastAsiaTheme="minorEastAsia" w:hAnsiTheme="minorEastAsia" w:cs="宋体" w:hint="eastAsia"/>
          <w:color w:val="000000"/>
          <w:kern w:val="0"/>
          <w:sz w:val="22"/>
          <w:szCs w:val="22"/>
        </w:rPr>
        <w:t>对价格形成一定支撑。</w:t>
      </w:r>
      <w:r w:rsidR="00191399" w:rsidRPr="003040B7">
        <w:rPr>
          <w:rFonts w:asciiTheme="minorEastAsia" w:eastAsiaTheme="minorEastAsia" w:hAnsiTheme="minorEastAsia" w:cs="宋体" w:hint="eastAsia"/>
          <w:color w:val="000000"/>
          <w:kern w:val="0"/>
          <w:sz w:val="22"/>
          <w:szCs w:val="22"/>
        </w:rPr>
        <w:t>铅供应</w:t>
      </w:r>
      <w:r w:rsidR="00191399">
        <w:rPr>
          <w:rFonts w:asciiTheme="minorEastAsia" w:eastAsiaTheme="minorEastAsia" w:hAnsiTheme="minorEastAsia" w:cs="宋体" w:hint="eastAsia"/>
          <w:color w:val="000000"/>
          <w:kern w:val="0"/>
          <w:sz w:val="22"/>
          <w:szCs w:val="22"/>
        </w:rPr>
        <w:t>偏紧</w:t>
      </w:r>
      <w:r w:rsidR="00191399" w:rsidRPr="003040B7">
        <w:rPr>
          <w:rFonts w:asciiTheme="minorEastAsia" w:eastAsiaTheme="minorEastAsia" w:hAnsiTheme="minorEastAsia" w:cs="宋体" w:hint="eastAsia"/>
          <w:color w:val="000000"/>
          <w:kern w:val="0"/>
          <w:sz w:val="22"/>
          <w:szCs w:val="22"/>
        </w:rPr>
        <w:t>的情况也体现在了</w:t>
      </w:r>
      <w:r w:rsidR="00A11346">
        <w:rPr>
          <w:rFonts w:asciiTheme="minorEastAsia" w:eastAsiaTheme="minorEastAsia" w:hAnsiTheme="minorEastAsia" w:cs="宋体" w:hint="eastAsia"/>
          <w:color w:val="000000"/>
          <w:kern w:val="0"/>
          <w:sz w:val="22"/>
          <w:szCs w:val="22"/>
        </w:rPr>
        <w:t>交易所</w:t>
      </w:r>
      <w:r w:rsidR="00191399">
        <w:rPr>
          <w:rFonts w:asciiTheme="minorEastAsia" w:eastAsiaTheme="minorEastAsia" w:hAnsiTheme="minorEastAsia" w:cs="宋体" w:hint="eastAsia"/>
          <w:color w:val="000000"/>
          <w:kern w:val="0"/>
          <w:sz w:val="22"/>
          <w:szCs w:val="22"/>
        </w:rPr>
        <w:t>铅</w:t>
      </w:r>
      <w:r w:rsidR="00191399" w:rsidRPr="003040B7">
        <w:rPr>
          <w:rFonts w:asciiTheme="minorEastAsia" w:eastAsiaTheme="minorEastAsia" w:hAnsiTheme="minorEastAsia" w:cs="宋体" w:hint="eastAsia"/>
          <w:color w:val="000000"/>
          <w:kern w:val="0"/>
          <w:sz w:val="22"/>
          <w:szCs w:val="22"/>
        </w:rPr>
        <w:t>库存</w:t>
      </w:r>
      <w:r w:rsidR="00191399">
        <w:rPr>
          <w:rFonts w:asciiTheme="minorEastAsia" w:eastAsiaTheme="minorEastAsia" w:hAnsiTheme="minorEastAsia" w:cs="宋体" w:hint="eastAsia"/>
          <w:color w:val="000000"/>
          <w:kern w:val="0"/>
          <w:sz w:val="22"/>
          <w:szCs w:val="22"/>
        </w:rPr>
        <w:t>的回落上</w:t>
      </w:r>
      <w:r w:rsidR="00A86CA2" w:rsidRPr="00A86CA2">
        <w:rPr>
          <w:rFonts w:asciiTheme="minorEastAsia" w:eastAsiaTheme="minorEastAsia" w:hAnsiTheme="minorEastAsia" w:cs="宋体" w:hint="eastAsia"/>
          <w:color w:val="000000"/>
          <w:kern w:val="0"/>
          <w:sz w:val="22"/>
          <w:szCs w:val="22"/>
        </w:rPr>
        <w:t>，而库存与铅价</w:t>
      </w:r>
      <w:r w:rsidR="00A86CA2">
        <w:rPr>
          <w:rFonts w:asciiTheme="minorEastAsia" w:eastAsiaTheme="minorEastAsia" w:hAnsiTheme="minorEastAsia" w:cs="宋体" w:hint="eastAsia"/>
          <w:color w:val="000000"/>
          <w:kern w:val="0"/>
          <w:sz w:val="22"/>
          <w:szCs w:val="22"/>
        </w:rPr>
        <w:t>的走势呈反比关系，未来料库存或</w:t>
      </w:r>
      <w:r w:rsidR="00A86CA2">
        <w:rPr>
          <w:rFonts w:asciiTheme="minorEastAsia" w:eastAsiaTheme="minorEastAsia" w:hAnsiTheme="minorEastAsia" w:cs="宋体" w:hint="eastAsia"/>
          <w:color w:val="000000"/>
          <w:kern w:val="0"/>
          <w:sz w:val="22"/>
          <w:szCs w:val="22"/>
        </w:rPr>
        <w:lastRenderedPageBreak/>
        <w:t>将</w:t>
      </w:r>
      <w:r w:rsidR="00FF4E2E">
        <w:rPr>
          <w:rFonts w:asciiTheme="minorEastAsia" w:eastAsiaTheme="minorEastAsia" w:hAnsiTheme="minorEastAsia" w:cs="宋体" w:hint="eastAsia"/>
          <w:color w:val="000000"/>
          <w:kern w:val="0"/>
          <w:sz w:val="22"/>
          <w:szCs w:val="22"/>
        </w:rPr>
        <w:t>维持低位</w:t>
      </w:r>
      <w:r w:rsidR="00A86CA2">
        <w:rPr>
          <w:rFonts w:asciiTheme="minorEastAsia" w:eastAsiaTheme="minorEastAsia" w:hAnsiTheme="minorEastAsia" w:cs="宋体" w:hint="eastAsia"/>
          <w:color w:val="000000"/>
          <w:kern w:val="0"/>
          <w:sz w:val="22"/>
          <w:szCs w:val="22"/>
        </w:rPr>
        <w:t>，这</w:t>
      </w:r>
      <w:r w:rsidR="0064423D">
        <w:rPr>
          <w:rFonts w:asciiTheme="minorEastAsia" w:eastAsiaTheme="minorEastAsia" w:hAnsiTheme="minorEastAsia" w:cs="宋体" w:hint="eastAsia"/>
          <w:color w:val="000000"/>
          <w:kern w:val="0"/>
          <w:sz w:val="22"/>
          <w:szCs w:val="22"/>
        </w:rPr>
        <w:t>也</w:t>
      </w:r>
      <w:r w:rsidR="00A86CA2">
        <w:rPr>
          <w:rFonts w:asciiTheme="minorEastAsia" w:eastAsiaTheme="minorEastAsia" w:hAnsiTheme="minorEastAsia" w:cs="宋体" w:hint="eastAsia"/>
          <w:color w:val="000000"/>
          <w:kern w:val="0"/>
          <w:sz w:val="22"/>
          <w:szCs w:val="22"/>
        </w:rPr>
        <w:t>将为铅价带来一定支撑</w:t>
      </w:r>
      <w:r w:rsidRPr="00E12BD4">
        <w:rPr>
          <w:rFonts w:asciiTheme="minorEastAsia" w:eastAsiaTheme="minorEastAsia" w:hAnsiTheme="minorEastAsia" w:cs="宋体" w:hint="eastAsia"/>
          <w:color w:val="000000"/>
          <w:kern w:val="0"/>
          <w:sz w:val="22"/>
          <w:szCs w:val="22"/>
        </w:rPr>
        <w:t>。从需求端看，</w:t>
      </w:r>
      <w:r w:rsidR="00A11346">
        <w:rPr>
          <w:rFonts w:asciiTheme="minorEastAsia" w:eastAsiaTheme="minorEastAsia" w:hAnsiTheme="minorEastAsia" w:cs="宋体" w:hint="eastAsia"/>
          <w:color w:val="000000"/>
          <w:kern w:val="0"/>
          <w:sz w:val="22"/>
          <w:szCs w:val="22"/>
        </w:rPr>
        <w:t>在通讯、汽车较快增长的拉动下，国内铅酸蓄电池产量保持稳定增长，成为铅市场最有利的支撑因素</w:t>
      </w:r>
      <w:r w:rsidR="005B7449">
        <w:rPr>
          <w:rFonts w:asciiTheme="minorEastAsia" w:eastAsiaTheme="minorEastAsia" w:hAnsiTheme="minorEastAsia" w:cs="宋体" w:hint="eastAsia"/>
          <w:color w:val="000000"/>
          <w:kern w:val="0"/>
          <w:sz w:val="22"/>
          <w:szCs w:val="22"/>
        </w:rPr>
        <w:t>。</w:t>
      </w:r>
      <w:r w:rsidR="00A11346">
        <w:rPr>
          <w:rFonts w:asciiTheme="minorEastAsia" w:eastAsiaTheme="minorEastAsia" w:hAnsiTheme="minorEastAsia" w:cs="宋体" w:hint="eastAsia"/>
          <w:color w:val="000000"/>
          <w:kern w:val="0"/>
          <w:sz w:val="22"/>
          <w:szCs w:val="22"/>
        </w:rPr>
        <w:t>但国内方面，由于原料供应充足，加之冶炼产能持续扩张，国内铅市场很难出现明显短缺，预计国内铅价将在外盘拉动下底部稳固，但上行乏力。我们预估2014年LME铅年</w:t>
      </w:r>
      <w:r w:rsidR="00A14805">
        <w:rPr>
          <w:rFonts w:asciiTheme="minorEastAsia" w:eastAsiaTheme="minorEastAsia" w:hAnsiTheme="minorEastAsia" w:cs="宋体" w:hint="eastAsia"/>
          <w:color w:val="000000"/>
          <w:kern w:val="0"/>
          <w:sz w:val="22"/>
          <w:szCs w:val="22"/>
        </w:rPr>
        <w:t>波动于</w:t>
      </w:r>
      <w:r w:rsidR="00A11346">
        <w:rPr>
          <w:rFonts w:asciiTheme="minorEastAsia" w:eastAsiaTheme="minorEastAsia" w:hAnsiTheme="minorEastAsia" w:cs="宋体" w:hint="eastAsia"/>
          <w:color w:val="000000"/>
          <w:kern w:val="0"/>
          <w:sz w:val="22"/>
          <w:szCs w:val="22"/>
        </w:rPr>
        <w:t>2</w:t>
      </w:r>
      <w:r w:rsidR="00A14805">
        <w:rPr>
          <w:rFonts w:asciiTheme="minorEastAsia" w:eastAsiaTheme="minorEastAsia" w:hAnsiTheme="minorEastAsia" w:cs="宋体" w:hint="eastAsia"/>
          <w:color w:val="000000"/>
          <w:kern w:val="0"/>
          <w:sz w:val="22"/>
          <w:szCs w:val="22"/>
        </w:rPr>
        <w:t>000-</w:t>
      </w:r>
      <w:r w:rsidR="00A11346">
        <w:rPr>
          <w:rFonts w:asciiTheme="minorEastAsia" w:eastAsiaTheme="minorEastAsia" w:hAnsiTheme="minorEastAsia" w:cs="宋体" w:hint="eastAsia"/>
          <w:color w:val="000000"/>
          <w:kern w:val="0"/>
          <w:sz w:val="22"/>
          <w:szCs w:val="22"/>
        </w:rPr>
        <w:t>2</w:t>
      </w:r>
      <w:r w:rsidR="00A14805">
        <w:rPr>
          <w:rFonts w:asciiTheme="minorEastAsia" w:eastAsiaTheme="minorEastAsia" w:hAnsiTheme="minorEastAsia" w:cs="宋体" w:hint="eastAsia"/>
          <w:color w:val="000000"/>
          <w:kern w:val="0"/>
          <w:sz w:val="22"/>
          <w:szCs w:val="22"/>
        </w:rPr>
        <w:t>30</w:t>
      </w:r>
      <w:r w:rsidR="00A11346">
        <w:rPr>
          <w:rFonts w:asciiTheme="minorEastAsia" w:eastAsiaTheme="minorEastAsia" w:hAnsiTheme="minorEastAsia" w:cs="宋体" w:hint="eastAsia"/>
          <w:color w:val="000000"/>
          <w:kern w:val="0"/>
          <w:sz w:val="22"/>
          <w:szCs w:val="22"/>
        </w:rPr>
        <w:t>0美元/吨</w:t>
      </w:r>
      <w:r w:rsidR="00C314F3">
        <w:rPr>
          <w:rFonts w:asciiTheme="minorEastAsia" w:eastAsiaTheme="minorEastAsia" w:hAnsiTheme="minorEastAsia" w:cs="宋体" w:hint="eastAsia"/>
          <w:color w:val="000000"/>
          <w:kern w:val="0"/>
          <w:sz w:val="22"/>
          <w:szCs w:val="22"/>
        </w:rPr>
        <w:t>之间</w:t>
      </w:r>
      <w:r w:rsidR="00A11346">
        <w:rPr>
          <w:rFonts w:asciiTheme="minorEastAsia" w:eastAsiaTheme="minorEastAsia" w:hAnsiTheme="minorEastAsia" w:cs="宋体" w:hint="eastAsia"/>
          <w:color w:val="000000"/>
          <w:kern w:val="0"/>
          <w:sz w:val="22"/>
          <w:szCs w:val="22"/>
        </w:rPr>
        <w:t>，2014年国内铅价波动区间为13500-15200元/吨。</w:t>
      </w:r>
    </w:p>
    <w:p w:rsidR="003D3003" w:rsidRPr="00C314F3" w:rsidRDefault="003D3003"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FF4E2E" w:rsidRDefault="00FF4E2E" w:rsidP="00D14C95">
      <w:pPr>
        <w:topLinePunct/>
        <w:adjustRightInd w:val="0"/>
        <w:snapToGrid w:val="0"/>
        <w:spacing w:line="300" w:lineRule="auto"/>
        <w:rPr>
          <w:rFonts w:asciiTheme="minorEastAsia" w:eastAsiaTheme="minorEastAsia" w:hAnsiTheme="minorEastAsia" w:cs="宋体"/>
          <w:color w:val="000000"/>
          <w:kern w:val="0"/>
          <w:sz w:val="22"/>
          <w:szCs w:val="22"/>
        </w:rPr>
      </w:pPr>
    </w:p>
    <w:p w:rsidR="00BC79FD" w:rsidRDefault="00BC79FD" w:rsidP="00625C75">
      <w:pPr>
        <w:topLinePunct/>
        <w:adjustRightInd w:val="0"/>
        <w:snapToGrid w:val="0"/>
        <w:spacing w:line="300" w:lineRule="auto"/>
        <w:rPr>
          <w:rFonts w:hAnsi="宋体"/>
        </w:rPr>
      </w:pPr>
    </w:p>
    <w:p w:rsidR="00267A3B" w:rsidRDefault="00267A3B" w:rsidP="00625C75">
      <w:pPr>
        <w:topLinePunct/>
        <w:adjustRightInd w:val="0"/>
        <w:snapToGrid w:val="0"/>
        <w:spacing w:line="300" w:lineRule="auto"/>
        <w:rPr>
          <w:rFonts w:hAnsi="宋体"/>
        </w:rPr>
      </w:pPr>
    </w:p>
    <w:p w:rsidR="00126743" w:rsidRDefault="00126743" w:rsidP="00126743">
      <w:pPr>
        <w:spacing w:line="300" w:lineRule="auto"/>
      </w:pPr>
    </w:p>
    <w:p w:rsidR="00BC6EDB" w:rsidRDefault="00BC6EDB" w:rsidP="00126743">
      <w:pPr>
        <w:spacing w:line="300" w:lineRule="auto"/>
      </w:pPr>
    </w:p>
    <w:p w:rsidR="00BC6EDB" w:rsidRPr="0060502A" w:rsidRDefault="00BC6EDB" w:rsidP="00126743">
      <w:pPr>
        <w:spacing w:line="300" w:lineRule="auto"/>
      </w:pPr>
    </w:p>
    <w:p w:rsidR="00126743" w:rsidRDefault="00FF3A5D" w:rsidP="00126743">
      <w:pPr>
        <w:jc w:val="center"/>
        <w:rPr>
          <w:rFonts w:ascii="方正舒体" w:eastAsia="方正舒体"/>
          <w:b/>
          <w:sz w:val="28"/>
          <w:szCs w:val="28"/>
        </w:rPr>
      </w:pPr>
      <w:r w:rsidRPr="00FF3A5D">
        <w:rPr>
          <w:rFonts w:ascii="楷体_GB2312" w:eastAsia="楷体_GB2312"/>
          <w:noProof/>
          <w:sz w:val="24"/>
        </w:rPr>
        <w:pict>
          <v:shape id="_x0000_s3785" type="#_x0000_t202" style="position:absolute;left:0;text-align:left;margin-left:.4pt;margin-top:-15.15pt;width:414pt;height:23.4pt;z-index:251653632" fillcolor="#f90" stroked="f">
            <v:textbox style="mso-next-textbox:#_x0000_s3785">
              <w:txbxContent>
                <w:p w:rsidR="00176B36" w:rsidRDefault="00176B36" w:rsidP="00126743">
                  <w:pPr>
                    <w:snapToGrid w:val="0"/>
                    <w:textAlignment w:val="top"/>
                    <w:rPr>
                      <w:b/>
                      <w:color w:val="FFFFFF"/>
                      <w:sz w:val="28"/>
                      <w:szCs w:val="28"/>
                    </w:rPr>
                  </w:pPr>
                  <w:r>
                    <w:rPr>
                      <w:rFonts w:hint="eastAsia"/>
                      <w:b/>
                      <w:i/>
                      <w:color w:val="FFFFFF"/>
                      <w:sz w:val="28"/>
                      <w:szCs w:val="28"/>
                    </w:rPr>
                    <w:t>洞彻风云</w:t>
                  </w:r>
                  <w:r>
                    <w:rPr>
                      <w:rFonts w:hint="eastAsia"/>
                      <w:b/>
                      <w:i/>
                      <w:color w:val="FFFFFF"/>
                      <w:sz w:val="28"/>
                      <w:szCs w:val="28"/>
                    </w:rPr>
                    <w:t xml:space="preserve"> </w:t>
                  </w:r>
                  <w:r>
                    <w:rPr>
                      <w:rFonts w:hint="eastAsia"/>
                      <w:b/>
                      <w:i/>
                      <w:color w:val="FFFFFF"/>
                      <w:sz w:val="28"/>
                      <w:szCs w:val="28"/>
                    </w:rPr>
                    <w:t>共创未来</w:t>
                  </w:r>
                  <w:r>
                    <w:rPr>
                      <w:rFonts w:hint="eastAsia"/>
                      <w:b/>
                      <w:color w:val="FFFFFF"/>
                      <w:sz w:val="28"/>
                      <w:szCs w:val="28"/>
                    </w:rPr>
                    <w:tab/>
                  </w:r>
                  <w:r>
                    <w:rPr>
                      <w:rFonts w:hint="eastAsia"/>
                      <w:b/>
                      <w:color w:val="FFFFFF"/>
                      <w:sz w:val="28"/>
                      <w:szCs w:val="28"/>
                    </w:rPr>
                    <w:tab/>
                  </w:r>
                  <w:r>
                    <w:rPr>
                      <w:rFonts w:hint="eastAsia"/>
                      <w:b/>
                      <w:color w:val="FFFFFF"/>
                      <w:sz w:val="28"/>
                      <w:szCs w:val="28"/>
                    </w:rPr>
                    <w:tab/>
                  </w:r>
                  <w:r>
                    <w:rPr>
                      <w:rFonts w:hint="eastAsia"/>
                      <w:b/>
                      <w:color w:val="FFFFFF"/>
                      <w:sz w:val="28"/>
                      <w:szCs w:val="28"/>
                    </w:rPr>
                    <w:tab/>
                  </w:r>
                  <w:r>
                    <w:rPr>
                      <w:rFonts w:hint="eastAsia"/>
                      <w:b/>
                      <w:color w:val="FFFFFF"/>
                      <w:sz w:val="28"/>
                      <w:szCs w:val="28"/>
                    </w:rPr>
                    <w:tab/>
                    <w:t xml:space="preserve"> </w:t>
                  </w:r>
                  <w:r>
                    <w:rPr>
                      <w:rFonts w:ascii="Times" w:hAnsi="Times"/>
                      <w:b/>
                      <w:i/>
                      <w:color w:val="FFFFFF"/>
                      <w:sz w:val="24"/>
                    </w:rPr>
                    <w:t>DEDICATED TO THE FUTURE</w:t>
                  </w:r>
                </w:p>
              </w:txbxContent>
            </v:textbox>
          </v:shape>
        </w:pict>
      </w:r>
      <w:r w:rsidR="00126743">
        <w:rPr>
          <w:rFonts w:ascii="方正舒体" w:eastAsia="方正舒体" w:hint="eastAsia"/>
          <w:b/>
          <w:sz w:val="28"/>
          <w:szCs w:val="28"/>
        </w:rPr>
        <w:t>全国统一客服电话：400-700-0188</w:t>
      </w:r>
    </w:p>
    <w:p w:rsidR="00126743" w:rsidRDefault="00FF3A5D" w:rsidP="00126743">
      <w:r>
        <w:rPr>
          <w:noProof/>
        </w:rPr>
        <w:pict>
          <v:shape id="_x0000_s3790" type="#_x0000_t202" style="position:absolute;left:0;text-align:left;margin-left:252pt;margin-top:0;width:144.65pt;height:194.4pt;z-index:251654656" filled="f" stroked="f">
            <v:textbox style="mso-next-textbox:#_x0000_s3790">
              <w:txbxContent>
                <w:p w:rsidR="00176B36" w:rsidRDefault="00176B36" w:rsidP="00126743">
                  <w:r>
                    <w:rPr>
                      <w:noProof/>
                    </w:rPr>
                    <w:drawing>
                      <wp:inline distT="0" distB="0" distL="0" distR="0">
                        <wp:extent cx="1651635" cy="2484120"/>
                        <wp:effectExtent l="19050" t="0" r="5715" b="0"/>
                        <wp:docPr id="4" name="图片 14" descr="金源期货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金源期货LOGO"/>
                                <pic:cNvPicPr>
                                  <a:picLocks noChangeAspect="1" noChangeArrowheads="1"/>
                                </pic:cNvPicPr>
                              </pic:nvPicPr>
                              <pic:blipFill>
                                <a:blip r:embed="rId43"/>
                                <a:srcRect/>
                                <a:stretch>
                                  <a:fillRect/>
                                </a:stretch>
                              </pic:blipFill>
                              <pic:spPr bwMode="auto">
                                <a:xfrm>
                                  <a:off x="0" y="0"/>
                                  <a:ext cx="1651635" cy="2484120"/>
                                </a:xfrm>
                                <a:prstGeom prst="rect">
                                  <a:avLst/>
                                </a:prstGeom>
                                <a:noFill/>
                                <a:ln w="9525">
                                  <a:noFill/>
                                  <a:miter lim="800000"/>
                                  <a:headEnd/>
                                  <a:tailEnd/>
                                </a:ln>
                              </pic:spPr>
                            </pic:pic>
                          </a:graphicData>
                        </a:graphic>
                      </wp:inline>
                    </w:drawing>
                  </w:r>
                </w:p>
              </w:txbxContent>
            </v:textbox>
          </v:shape>
        </w:pict>
      </w:r>
    </w:p>
    <w:p w:rsidR="00126743" w:rsidRDefault="00FF3A5D" w:rsidP="00126743">
      <w:r>
        <w:rPr>
          <w:noProof/>
        </w:rPr>
        <w:pict>
          <v:shape id="_x0000_s3786" type="#_x0000_t202" style="position:absolute;left:0;text-align:left;margin-left:0;margin-top:9pt;width:171pt;height:85.8pt;z-index:251655680" strokecolor="white">
            <v:textbox style="mso-next-textbox:#_x0000_s3786">
              <w:txbxContent>
                <w:p w:rsidR="00176B36" w:rsidRPr="00475C5A" w:rsidRDefault="00176B36" w:rsidP="00126743">
                  <w:pPr>
                    <w:rPr>
                      <w:rFonts w:ascii="楷体_GB2312" w:eastAsia="楷体_GB2312" w:hAnsi="楷体"/>
                      <w:b/>
                      <w:sz w:val="28"/>
                      <w:szCs w:val="28"/>
                    </w:rPr>
                  </w:pPr>
                  <w:r w:rsidRPr="00475C5A">
                    <w:rPr>
                      <w:rFonts w:ascii="楷体_GB2312" w:eastAsia="楷体_GB2312" w:hAnsi="楷体" w:hint="eastAsia"/>
                      <w:b/>
                      <w:sz w:val="28"/>
                      <w:szCs w:val="28"/>
                    </w:rPr>
                    <w:t>总部</w:t>
                  </w:r>
                </w:p>
                <w:p w:rsidR="00176B36" w:rsidRPr="00FA5003" w:rsidRDefault="00176B36" w:rsidP="00126743">
                  <w:pPr>
                    <w:rPr>
                      <w:rFonts w:ascii="宋体" w:hAnsi="宋体"/>
                      <w:szCs w:val="21"/>
                    </w:rPr>
                  </w:pPr>
                  <w:r w:rsidRPr="00FA5003">
                    <w:rPr>
                      <w:rFonts w:ascii="宋体" w:hAnsi="宋体" w:hint="eastAsia"/>
                      <w:szCs w:val="21"/>
                    </w:rPr>
                    <w:t>上海市浦东新区源深路273号</w:t>
                  </w:r>
                </w:p>
                <w:p w:rsidR="00176B36" w:rsidRPr="00FA5003" w:rsidRDefault="00176B36" w:rsidP="00126743">
                  <w:pPr>
                    <w:rPr>
                      <w:rFonts w:ascii="宋体" w:hAnsi="宋体"/>
                      <w:szCs w:val="21"/>
                    </w:rPr>
                  </w:pPr>
                  <w:r w:rsidRPr="00FA5003">
                    <w:rPr>
                      <w:rFonts w:ascii="宋体" w:hAnsi="宋体" w:hint="eastAsia"/>
                      <w:szCs w:val="21"/>
                    </w:rPr>
                    <w:t>电话：021-68559999（总机）</w:t>
                  </w:r>
                </w:p>
                <w:p w:rsidR="00176B36" w:rsidRPr="00FA5003" w:rsidRDefault="00176B36" w:rsidP="00126743">
                  <w:pPr>
                    <w:rPr>
                      <w:rFonts w:ascii="宋体" w:hAnsi="宋体"/>
                      <w:szCs w:val="21"/>
                    </w:rPr>
                  </w:pPr>
                  <w:r w:rsidRPr="00FA5003">
                    <w:rPr>
                      <w:rFonts w:ascii="宋体" w:hAnsi="宋体" w:hint="eastAsia"/>
                      <w:szCs w:val="21"/>
                    </w:rPr>
                    <w:t>传真：021-68550055</w:t>
                  </w:r>
                </w:p>
              </w:txbxContent>
            </v:textbox>
            <w10:wrap type="square"/>
          </v:shape>
        </w:pict>
      </w:r>
    </w:p>
    <w:p w:rsidR="00126743" w:rsidRDefault="00126743" w:rsidP="00126743"/>
    <w:p w:rsidR="00126743" w:rsidRDefault="00126743" w:rsidP="00126743"/>
    <w:p w:rsidR="00126743" w:rsidRDefault="00126743" w:rsidP="00126743"/>
    <w:p w:rsidR="00126743" w:rsidRDefault="00126743" w:rsidP="00126743"/>
    <w:p w:rsidR="00126743" w:rsidRDefault="00FF3A5D" w:rsidP="00126743">
      <w:r>
        <w:rPr>
          <w:noProof/>
        </w:rPr>
        <w:pict>
          <v:shape id="_x0000_s3791" type="#_x0000_t202" style="position:absolute;left:0;text-align:left;margin-left:-180pt;margin-top:15pt;width:171pt;height:85.8pt;z-index:251656704" strokecolor="white">
            <v:textbox style="mso-next-textbox:#_x0000_s3791">
              <w:txbxContent>
                <w:p w:rsidR="00176B36" w:rsidRPr="00475C5A" w:rsidRDefault="00176B36" w:rsidP="00126743">
                  <w:pPr>
                    <w:rPr>
                      <w:rFonts w:ascii="楷体_GB2312" w:eastAsia="楷体_GB2312" w:hAnsi="楷体"/>
                      <w:b/>
                      <w:sz w:val="28"/>
                      <w:szCs w:val="28"/>
                    </w:rPr>
                  </w:pPr>
                  <w:r w:rsidRPr="00475C5A">
                    <w:rPr>
                      <w:rFonts w:ascii="楷体_GB2312" w:eastAsia="楷体_GB2312" w:hAnsi="楷体"/>
                      <w:b/>
                      <w:sz w:val="28"/>
                      <w:szCs w:val="28"/>
                    </w:rPr>
                    <w:t>上海期货大厦</w:t>
                  </w:r>
                  <w:r w:rsidRPr="00475C5A">
                    <w:rPr>
                      <w:rFonts w:ascii="楷体_GB2312" w:eastAsia="楷体_GB2312" w:hAnsi="楷体" w:hint="eastAsia"/>
                      <w:b/>
                      <w:sz w:val="28"/>
                      <w:szCs w:val="28"/>
                    </w:rPr>
                    <w:t>营业部</w:t>
                  </w:r>
                </w:p>
                <w:p w:rsidR="00176B36" w:rsidRPr="00FA5003" w:rsidRDefault="00176B36" w:rsidP="00126743">
                  <w:pPr>
                    <w:rPr>
                      <w:rFonts w:ascii="宋体" w:hAnsi="宋体"/>
                      <w:szCs w:val="21"/>
                    </w:rPr>
                  </w:pPr>
                  <w:r w:rsidRPr="00FA5003">
                    <w:rPr>
                      <w:rFonts w:ascii="宋体" w:hAnsi="宋体"/>
                      <w:szCs w:val="21"/>
                    </w:rPr>
                    <w:t>上海市浦东新区松林路300号2603、2904室</w:t>
                  </w:r>
                </w:p>
                <w:p w:rsidR="00176B36" w:rsidRPr="00FA5003" w:rsidRDefault="00176B36" w:rsidP="00126743">
                  <w:pPr>
                    <w:rPr>
                      <w:rFonts w:ascii="宋体" w:hAnsi="宋体"/>
                      <w:szCs w:val="21"/>
                    </w:rPr>
                  </w:pPr>
                  <w:r w:rsidRPr="00FA5003">
                    <w:rPr>
                      <w:rFonts w:ascii="宋体" w:hAnsi="宋体" w:hint="eastAsia"/>
                    </w:rPr>
                    <w:t>电话</w:t>
                  </w:r>
                  <w:r w:rsidRPr="00FA5003">
                    <w:rPr>
                      <w:rFonts w:ascii="宋体" w:hAnsi="宋体" w:hint="eastAsia"/>
                      <w:szCs w:val="21"/>
                    </w:rPr>
                    <w:t>：</w:t>
                  </w:r>
                  <w:r w:rsidRPr="00FA5003">
                    <w:rPr>
                      <w:rFonts w:ascii="宋体" w:hAnsi="宋体"/>
                      <w:szCs w:val="21"/>
                    </w:rPr>
                    <w:t>021-68400688</w:t>
                  </w:r>
                </w:p>
                <w:p w:rsidR="00176B36" w:rsidRDefault="00176B36" w:rsidP="00126743"/>
              </w:txbxContent>
            </v:textbox>
          </v:shape>
        </w:pict>
      </w:r>
    </w:p>
    <w:p w:rsidR="00126743" w:rsidRDefault="00126743" w:rsidP="00126743"/>
    <w:p w:rsidR="00126743" w:rsidRDefault="00126743" w:rsidP="00126743"/>
    <w:p w:rsidR="00126743" w:rsidRDefault="00126743" w:rsidP="00126743"/>
    <w:p w:rsidR="00126743" w:rsidRDefault="00FF3A5D" w:rsidP="00126743">
      <w:r>
        <w:rPr>
          <w:noProof/>
        </w:rPr>
        <w:pict>
          <v:shape id="_x0000_s3788" type="#_x0000_t202" style="position:absolute;left:0;text-align:left;margin-left:234pt;margin-top:46.75pt;width:171pt;height:85.8pt;z-index:251657728" strokecolor="white">
            <v:textbox style="mso-next-textbox:#_x0000_s3788">
              <w:txbxContent>
                <w:p w:rsidR="00176B36" w:rsidRPr="00475C5A" w:rsidRDefault="00176B36" w:rsidP="00126743">
                  <w:pPr>
                    <w:rPr>
                      <w:rFonts w:ascii="楷体_GB2312" w:eastAsia="楷体_GB2312" w:hAnsi="楷体"/>
                      <w:b/>
                      <w:sz w:val="28"/>
                      <w:szCs w:val="28"/>
                    </w:rPr>
                  </w:pPr>
                  <w:r w:rsidRPr="00475C5A">
                    <w:rPr>
                      <w:rFonts w:ascii="楷体_GB2312" w:eastAsia="楷体_GB2312" w:hAnsi="楷体" w:hint="eastAsia"/>
                      <w:b/>
                      <w:sz w:val="28"/>
                      <w:szCs w:val="28"/>
                    </w:rPr>
                    <w:t>郑州营业部</w:t>
                  </w:r>
                </w:p>
                <w:p w:rsidR="00176B36" w:rsidRPr="00FA5003" w:rsidRDefault="00176B36" w:rsidP="00126743">
                  <w:pPr>
                    <w:rPr>
                      <w:rFonts w:ascii="宋体" w:hAnsi="宋体"/>
                      <w:szCs w:val="21"/>
                    </w:rPr>
                  </w:pPr>
                  <w:r w:rsidRPr="00FA5003">
                    <w:rPr>
                      <w:rFonts w:ascii="宋体" w:hAnsi="宋体" w:hint="eastAsia"/>
                      <w:szCs w:val="21"/>
                    </w:rPr>
                    <w:t>河南省郑州市未来大道69号未来公寓1201</w:t>
                  </w:r>
                </w:p>
                <w:p w:rsidR="00176B36" w:rsidRPr="00FA5003" w:rsidRDefault="00176B36" w:rsidP="00126743">
                  <w:pPr>
                    <w:rPr>
                      <w:rFonts w:ascii="宋体" w:hAnsi="宋体"/>
                      <w:szCs w:val="21"/>
                    </w:rPr>
                  </w:pPr>
                  <w:r w:rsidRPr="00FA5003">
                    <w:rPr>
                      <w:rFonts w:ascii="宋体" w:hAnsi="宋体" w:hint="eastAsia"/>
                      <w:szCs w:val="21"/>
                    </w:rPr>
                    <w:t>电话：0371-65613449</w:t>
                  </w:r>
                </w:p>
                <w:p w:rsidR="00176B36" w:rsidRDefault="00176B36" w:rsidP="00126743"/>
              </w:txbxContent>
            </v:textbox>
          </v:shape>
        </w:pict>
      </w:r>
      <w:r>
        <w:rPr>
          <w:noProof/>
        </w:rPr>
        <w:pict>
          <v:shape id="_x0000_s3789" type="#_x0000_t202" style="position:absolute;left:0;text-align:left;margin-left:234pt;margin-top:132.6pt;width:171pt;height:85.8pt;z-index:251658752" strokecolor="white">
            <v:textbox style="mso-next-textbox:#_x0000_s3789">
              <w:txbxContent>
                <w:p w:rsidR="00176B36" w:rsidRPr="00475C5A" w:rsidRDefault="00176B36" w:rsidP="00126743">
                  <w:pPr>
                    <w:rPr>
                      <w:rFonts w:ascii="楷体_GB2312" w:eastAsia="楷体_GB2312" w:hAnsi="楷体"/>
                      <w:b/>
                      <w:sz w:val="28"/>
                      <w:szCs w:val="28"/>
                    </w:rPr>
                  </w:pPr>
                  <w:r w:rsidRPr="00475C5A">
                    <w:rPr>
                      <w:rFonts w:ascii="楷体_GB2312" w:eastAsia="楷体_GB2312" w:hAnsi="楷体" w:hint="eastAsia"/>
                      <w:b/>
                      <w:sz w:val="28"/>
                      <w:szCs w:val="28"/>
                    </w:rPr>
                    <w:t>铜陵营业部</w:t>
                  </w:r>
                </w:p>
                <w:p w:rsidR="00176B36" w:rsidRPr="00FA5003" w:rsidRDefault="00176B36" w:rsidP="00126743">
                  <w:pPr>
                    <w:rPr>
                      <w:rFonts w:ascii="宋体" w:hAnsi="宋体"/>
                      <w:szCs w:val="21"/>
                    </w:rPr>
                  </w:pPr>
                  <w:r w:rsidRPr="00FA5003">
                    <w:rPr>
                      <w:rFonts w:ascii="宋体" w:hAnsi="宋体" w:hint="eastAsia"/>
                      <w:szCs w:val="21"/>
                    </w:rPr>
                    <w:t>铜陵市义安大道1287号财富广场A2506室</w:t>
                  </w:r>
                </w:p>
                <w:p w:rsidR="00176B36" w:rsidRPr="00FA5003" w:rsidRDefault="00176B36" w:rsidP="00126743">
                  <w:pPr>
                    <w:rPr>
                      <w:rFonts w:ascii="宋体" w:hAnsi="宋体"/>
                      <w:szCs w:val="21"/>
                    </w:rPr>
                  </w:pPr>
                  <w:r w:rsidRPr="00FA5003">
                    <w:rPr>
                      <w:rFonts w:ascii="宋体" w:hAnsi="宋体" w:hint="eastAsia"/>
                      <w:szCs w:val="21"/>
                    </w:rPr>
                    <w:t>电话：0562-5819717</w:t>
                  </w:r>
                </w:p>
                <w:p w:rsidR="00176B36" w:rsidRDefault="00176B36" w:rsidP="00126743"/>
              </w:txbxContent>
            </v:textbox>
          </v:shape>
        </w:pict>
      </w:r>
      <w:r>
        <w:rPr>
          <w:noProof/>
        </w:rPr>
        <w:pict>
          <v:shape id="_x0000_s3787" type="#_x0000_t202" style="position:absolute;left:0;text-align:left;margin-left:0;margin-top:132.6pt;width:171pt;height:85.8pt;z-index:251659776" strokecolor="white">
            <v:textbox style="mso-next-textbox:#_x0000_s3787">
              <w:txbxContent>
                <w:p w:rsidR="00176B36" w:rsidRPr="00475C5A" w:rsidRDefault="00176B36" w:rsidP="00126743">
                  <w:pPr>
                    <w:rPr>
                      <w:rFonts w:ascii="楷体_GB2312" w:eastAsia="楷体_GB2312" w:hAnsi="楷体"/>
                      <w:b/>
                      <w:sz w:val="28"/>
                      <w:szCs w:val="28"/>
                    </w:rPr>
                  </w:pPr>
                  <w:r w:rsidRPr="00475C5A">
                    <w:rPr>
                      <w:rFonts w:ascii="楷体_GB2312" w:eastAsia="楷体_GB2312" w:hAnsi="楷体" w:hint="eastAsia"/>
                      <w:b/>
                      <w:sz w:val="28"/>
                      <w:szCs w:val="28"/>
                    </w:rPr>
                    <w:t>大连营业部</w:t>
                  </w:r>
                </w:p>
                <w:p w:rsidR="00176B36" w:rsidRPr="00FA5003" w:rsidRDefault="00176B36" w:rsidP="00126743">
                  <w:pPr>
                    <w:rPr>
                      <w:rFonts w:ascii="宋体" w:hAnsi="宋体"/>
                      <w:szCs w:val="21"/>
                    </w:rPr>
                  </w:pPr>
                  <w:r w:rsidRPr="00FA5003">
                    <w:rPr>
                      <w:rFonts w:ascii="宋体" w:hAnsi="宋体" w:hint="eastAsia"/>
                      <w:szCs w:val="21"/>
                    </w:rPr>
                    <w:t>辽宁省大连市河口区会展路67号百年汇D座705室</w:t>
                  </w:r>
                </w:p>
                <w:p w:rsidR="00176B36" w:rsidRPr="00FA5003" w:rsidRDefault="00176B36" w:rsidP="00126743">
                  <w:pPr>
                    <w:rPr>
                      <w:rFonts w:ascii="宋体" w:hAnsi="宋体"/>
                      <w:szCs w:val="21"/>
                    </w:rPr>
                  </w:pPr>
                  <w:r w:rsidRPr="00FA5003">
                    <w:rPr>
                      <w:rFonts w:ascii="宋体" w:hAnsi="宋体" w:hint="eastAsia"/>
                      <w:szCs w:val="21"/>
                    </w:rPr>
                    <w:t>电话：0411-84803386</w:t>
                  </w:r>
                </w:p>
                <w:p w:rsidR="00176B36" w:rsidRDefault="00176B36" w:rsidP="00126743"/>
              </w:txbxContent>
            </v:textbox>
          </v:shape>
        </w:pict>
      </w:r>
      <w:r>
        <w:pict>
          <v:group id="_x0000_s3782" editas="canvas" style="width:171pt;height:124.8pt;mso-position-horizontal-relative:char;mso-position-vertical-relative:line" coordorigin="2362,2755" coordsize="2974,21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83" type="#_x0000_t75" style="position:absolute;left:2362;top:2755;width:2974;height:2174" o:preferrelative="f">
              <v:fill o:detectmouseclick="t"/>
              <v:path o:extrusionok="t" o:connecttype="none"/>
              <o:lock v:ext="edit" text="t"/>
            </v:shape>
            <v:shape id="_x0000_s3784" type="#_x0000_t202" style="position:absolute;left:2362;top:3434;width:2974;height:1495" strokecolor="white">
              <v:textbox style="mso-next-textbox:#_x0000_s3784">
                <w:txbxContent>
                  <w:p w:rsidR="00176B36" w:rsidRPr="00475C5A" w:rsidRDefault="00176B36" w:rsidP="00126743">
                    <w:pPr>
                      <w:rPr>
                        <w:rFonts w:ascii="楷体_GB2312" w:eastAsia="楷体_GB2312" w:hAnsi="楷体"/>
                        <w:b/>
                        <w:sz w:val="28"/>
                        <w:szCs w:val="28"/>
                      </w:rPr>
                    </w:pPr>
                    <w:r w:rsidRPr="00475C5A">
                      <w:rPr>
                        <w:rFonts w:ascii="楷体_GB2312" w:eastAsia="楷体_GB2312" w:hAnsi="楷体" w:hint="eastAsia"/>
                        <w:b/>
                        <w:sz w:val="28"/>
                        <w:szCs w:val="28"/>
                      </w:rPr>
                      <w:t>深圳营业部</w:t>
                    </w:r>
                  </w:p>
                  <w:p w:rsidR="00176B36" w:rsidRPr="00FA5003" w:rsidRDefault="00176B36" w:rsidP="00126743">
                    <w:pPr>
                      <w:rPr>
                        <w:rFonts w:ascii="宋体" w:hAnsi="宋体"/>
                        <w:szCs w:val="21"/>
                      </w:rPr>
                    </w:pPr>
                    <w:r>
                      <w:rPr>
                        <w:rFonts w:hint="eastAsia"/>
                      </w:rPr>
                      <w:t>深</w:t>
                    </w:r>
                    <w:r w:rsidRPr="00FA5003">
                      <w:rPr>
                        <w:rFonts w:ascii="宋体" w:hAnsi="宋体" w:hint="eastAsia"/>
                        <w:szCs w:val="21"/>
                      </w:rPr>
                      <w:t>圳市福田区福华一路卓越大厦</w:t>
                    </w:r>
                    <w:smartTag w:uri="urn:schemas-microsoft-com:office:smarttags" w:element="chmetcnv">
                      <w:smartTagPr>
                        <w:attr w:name="UnitName" w:val="a"/>
                        <w:attr w:name="SourceValue" w:val="1706"/>
                        <w:attr w:name="HasSpace" w:val="False"/>
                        <w:attr w:name="Negative" w:val="False"/>
                        <w:attr w:name="NumberType" w:val="1"/>
                        <w:attr w:name="TCSC" w:val="0"/>
                      </w:smartTagPr>
                      <w:r w:rsidRPr="00FA5003">
                        <w:rPr>
                          <w:rFonts w:ascii="宋体" w:hAnsi="宋体" w:hint="eastAsia"/>
                          <w:szCs w:val="21"/>
                        </w:rPr>
                        <w:t>1706A</w:t>
                      </w:r>
                    </w:smartTag>
                  </w:p>
                  <w:p w:rsidR="00176B36" w:rsidRPr="00FA5003" w:rsidRDefault="00176B36" w:rsidP="00126743">
                    <w:pPr>
                      <w:rPr>
                        <w:rFonts w:ascii="宋体" w:hAnsi="宋体"/>
                        <w:szCs w:val="21"/>
                      </w:rPr>
                    </w:pPr>
                    <w:r w:rsidRPr="00FA5003">
                      <w:rPr>
                        <w:rFonts w:ascii="宋体" w:hAnsi="宋体" w:hint="eastAsia"/>
                        <w:szCs w:val="21"/>
                      </w:rPr>
                      <w:t>电话：0755-82874655</w:t>
                    </w:r>
                  </w:p>
                  <w:p w:rsidR="00176B36" w:rsidRPr="00A14FCB" w:rsidRDefault="00176B36" w:rsidP="00126743"/>
                </w:txbxContent>
              </v:textbox>
            </v:shape>
            <w10:wrap type="none"/>
            <w10:anchorlock/>
          </v:group>
        </w:pict>
      </w:r>
      <w:r w:rsidR="00126743">
        <w:rPr>
          <w:rFonts w:hint="eastAsia"/>
        </w:rPr>
        <w:t xml:space="preserve">           </w:t>
      </w:r>
    </w:p>
    <w:p w:rsidR="00126743" w:rsidRDefault="00126743" w:rsidP="00126743"/>
    <w:p w:rsidR="00126743" w:rsidRDefault="00126743" w:rsidP="00126743">
      <w:pPr>
        <w:rPr>
          <w:rFonts w:ascii="楷体_GB2312" w:eastAsia="楷体_GB2312"/>
          <w:b/>
          <w:sz w:val="28"/>
          <w:szCs w:val="28"/>
        </w:rPr>
      </w:pPr>
    </w:p>
    <w:p w:rsidR="00126743" w:rsidRDefault="00126743" w:rsidP="00126743">
      <w:pPr>
        <w:rPr>
          <w:rFonts w:ascii="楷体_GB2312" w:eastAsia="楷体_GB2312"/>
          <w:b/>
          <w:sz w:val="28"/>
          <w:szCs w:val="28"/>
        </w:rPr>
      </w:pPr>
    </w:p>
    <w:p w:rsidR="00126743" w:rsidRDefault="00FF3A5D" w:rsidP="00126743">
      <w:r>
        <w:pict>
          <v:group id="_x0000_s3779" editas="canvas" style="width:414pt;height:15.6pt;mso-position-horizontal-relative:char;mso-position-vertical-relative:line" coordorigin="2185,5658" coordsize="7200,272">
            <o:lock v:ext="edit" aspectratio="t"/>
            <v:shape id="_x0000_s3780" type="#_x0000_t75" style="position:absolute;left:2185;top:5658;width:7200;height:272" o:preferrelative="f">
              <v:fill o:detectmouseclick="t"/>
              <v:path o:extrusionok="t" o:connecttype="none"/>
              <o:lock v:ext="edit" text="t"/>
            </v:shape>
            <v:line id="_x0000_s3781" style="position:absolute;flip:y" from="2185,5794" to="9385,5796" strokecolor="#930" strokeweight="3pt">
              <v:stroke dashstyle="1 1" startarrow="diamond" endarrow="diamond" endcap="round"/>
            </v:line>
            <w10:wrap type="none"/>
            <w10:anchorlock/>
          </v:group>
        </w:pict>
      </w:r>
    </w:p>
    <w:p w:rsidR="00126743" w:rsidRPr="00F44F47" w:rsidRDefault="00126743" w:rsidP="009056BA">
      <w:pPr>
        <w:tabs>
          <w:tab w:val="left" w:pos="2925"/>
        </w:tabs>
        <w:spacing w:beforeLines="50" w:afterLines="50"/>
        <w:jc w:val="center"/>
        <w:rPr>
          <w:rFonts w:ascii="宋体" w:hAnsi="宋体"/>
          <w:b/>
          <w:color w:val="993300"/>
          <w:sz w:val="32"/>
          <w:szCs w:val="32"/>
        </w:rPr>
      </w:pPr>
      <w:r w:rsidRPr="00F44F47">
        <w:rPr>
          <w:rFonts w:ascii="宋体" w:hAnsi="宋体" w:hint="eastAsia"/>
          <w:b/>
          <w:color w:val="993300"/>
          <w:sz w:val="32"/>
          <w:szCs w:val="32"/>
        </w:rPr>
        <w:t>免责</w:t>
      </w:r>
      <w:r>
        <w:rPr>
          <w:rFonts w:ascii="宋体" w:hAnsi="宋体" w:hint="eastAsia"/>
          <w:b/>
          <w:color w:val="993300"/>
          <w:sz w:val="32"/>
          <w:szCs w:val="32"/>
        </w:rPr>
        <w:t>声明</w:t>
      </w:r>
    </w:p>
    <w:p w:rsidR="00126743" w:rsidRPr="00475C5A" w:rsidRDefault="00126743" w:rsidP="009056BA">
      <w:pPr>
        <w:tabs>
          <w:tab w:val="left" w:pos="2925"/>
        </w:tabs>
        <w:adjustRightInd w:val="0"/>
        <w:snapToGrid w:val="0"/>
        <w:spacing w:beforeLines="50" w:afterLines="50"/>
        <w:rPr>
          <w:rFonts w:ascii="楷体_GB2312" w:eastAsia="楷体_GB2312" w:hAnsi="楷体"/>
          <w:color w:val="993300"/>
          <w:sz w:val="24"/>
        </w:rPr>
      </w:pPr>
      <w:r w:rsidRPr="00475C5A">
        <w:rPr>
          <w:rFonts w:ascii="楷体_GB2312" w:eastAsia="楷体_GB2312" w:hAnsi="楷体" w:hint="eastAsia"/>
          <w:color w:val="993300"/>
          <w:sz w:val="24"/>
        </w:rPr>
        <w:t>本报告仅向特定客户传送，未经金源期货研发中心授权许可，任何引用、转载以及向第三方传播的行为均可能承担法律责任。本报告中的信息均来源于公开可获得资料，金源期货研发中心力求准确可靠，但对这些信息的准确性及完整性不做任何保证，据此投资，责任自负。</w:t>
      </w:r>
    </w:p>
    <w:p w:rsidR="00126743" w:rsidRPr="00475C5A" w:rsidRDefault="00126743" w:rsidP="009056BA">
      <w:pPr>
        <w:tabs>
          <w:tab w:val="left" w:pos="2925"/>
        </w:tabs>
        <w:adjustRightInd w:val="0"/>
        <w:snapToGrid w:val="0"/>
        <w:spacing w:beforeLines="50" w:afterLines="50"/>
        <w:rPr>
          <w:rFonts w:ascii="楷体_GB2312" w:eastAsia="楷体_GB2312" w:hAnsi="楷体"/>
          <w:color w:val="993300"/>
          <w:sz w:val="24"/>
        </w:rPr>
      </w:pPr>
      <w:r w:rsidRPr="00475C5A">
        <w:rPr>
          <w:rFonts w:ascii="楷体_GB2312" w:eastAsia="楷体_GB2312" w:hAnsi="楷体" w:hint="eastAsia"/>
          <w:color w:val="993300"/>
          <w:sz w:val="24"/>
        </w:rPr>
        <w:t>本报告不构成个人投资建议，也没有考虑到个别客户特殊的投资目标财务状况或需要。客户应考虑本报告中的任何意见或建议是否符合其特定状况。</w:t>
      </w:r>
    </w:p>
    <w:p w:rsidR="008928A4" w:rsidRPr="00126743" w:rsidRDefault="008928A4" w:rsidP="00FF3A5D">
      <w:pPr>
        <w:tabs>
          <w:tab w:val="left" w:pos="2925"/>
        </w:tabs>
        <w:spacing w:beforeLines="50" w:afterLines="50"/>
        <w:rPr>
          <w:rFonts w:ascii="楷体_GB2312" w:eastAsia="楷体_GB2312" w:hAnsi="楷体"/>
          <w:color w:val="993300"/>
          <w:sz w:val="24"/>
        </w:rPr>
      </w:pPr>
    </w:p>
    <w:sectPr w:rsidR="008928A4" w:rsidRPr="00126743" w:rsidSect="00023A39">
      <w:headerReference w:type="default" r:id="rId44"/>
      <w:footerReference w:type="default" r:id="rId45"/>
      <w:headerReference w:type="first" r:id="rId46"/>
      <w:pgSz w:w="11906" w:h="16838" w:code="9"/>
      <w:pgMar w:top="1440" w:right="1700" w:bottom="873" w:left="1797"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14C" w:rsidRDefault="00AF714C">
      <w:r>
        <w:separator/>
      </w:r>
    </w:p>
  </w:endnote>
  <w:endnote w:type="continuationSeparator" w:id="1">
    <w:p w:rsidR="00AF714C" w:rsidRDefault="00AF714C">
      <w:r>
        <w:continuationSeparator/>
      </w:r>
    </w:p>
  </w:endnote>
</w:endnotes>
</file>

<file path=word/fontTable.xml><?xml version="1.0" encoding="utf-8"?>
<w:fonts xmlns:r="http://schemas.openxmlformats.org/officeDocument/2006/relationships" xmlns:w="http://schemas.openxmlformats.org/wordprocessingml/2006/main">
  <w:font w:name="楷体_GB2312">
    <w:altName w:val="Arial Unicode MS"/>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微软雅黑"/>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方正舒体">
    <w:panose1 w:val="02010601030101010101"/>
    <w:charset w:val="86"/>
    <w:family w:val="auto"/>
    <w:pitch w:val="variable"/>
    <w:sig w:usb0="00000001" w:usb1="080E0000" w:usb2="00000010" w:usb3="00000000" w:csb0="00040000" w:csb1="00000000"/>
  </w:font>
  <w:font w:name="Times">
    <w:altName w:val="Microsoft Sans Serif"/>
    <w:panose1 w:val="02020603050405020304"/>
    <w:charset w:val="00"/>
    <w:family w:val="roman"/>
    <w:pitch w:val="variable"/>
    <w:sig w:usb0="E0002AFF" w:usb1="C0007841" w:usb2="00000009" w:usb3="00000000" w:csb0="000001FF" w:csb1="00000000"/>
  </w:font>
  <w:font w:name="楷体">
    <w:altName w:val="微软雅黑"/>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B36" w:rsidRPr="00D3016F" w:rsidRDefault="00176B36" w:rsidP="004D0150">
    <w:pPr>
      <w:pStyle w:val="a4"/>
      <w:rPr>
        <w:b/>
        <w:i/>
        <w:color w:val="FF9900"/>
      </w:rPr>
    </w:pPr>
  </w:p>
  <w:p w:rsidR="00176B36" w:rsidRDefault="00FF3A5D" w:rsidP="00582C73">
    <w:pPr>
      <w:pStyle w:val="a4"/>
      <w:ind w:right="180"/>
      <w:rPr>
        <w:rFonts w:eastAsia="楷体_GB2312"/>
        <w:i/>
        <w:color w:val="943634"/>
        <w:sz w:val="24"/>
      </w:rPr>
    </w:pPr>
    <w:r w:rsidRPr="00FF3A5D">
      <w:rPr>
        <w:b/>
        <w:i/>
        <w:noProof/>
        <w:color w:val="993300"/>
      </w:rPr>
      <w:pict>
        <v:line id="_x0000_s2053" style="position:absolute;flip:y;z-index:251657216" from="0,-6.65pt" to="414pt,-6.5pt" strokecolor="#930" strokeweight="3pt"/>
      </w:pict>
    </w:r>
    <w:r w:rsidRPr="00FF3A5D">
      <w:rPr>
        <w:b/>
        <w:i/>
        <w:noProof/>
        <w:color w:val="993300"/>
      </w:rPr>
      <w:pict>
        <v:line id="_x0000_s2054" style="position:absolute;flip:y;z-index:251658240" from="0,-6.65pt" to="414pt,-6.5pt" strokecolor="#930" strokeweight="3pt"/>
      </w:pict>
    </w:r>
    <w:r w:rsidR="00176B36" w:rsidRPr="00304F9E">
      <w:rPr>
        <w:rFonts w:eastAsia="楷体_GB2312" w:hint="eastAsia"/>
        <w:i/>
        <w:color w:val="943634"/>
        <w:sz w:val="24"/>
      </w:rPr>
      <w:t>敬请参阅最后一页免责</w:t>
    </w:r>
    <w:r w:rsidR="00176B36">
      <w:rPr>
        <w:rFonts w:eastAsia="楷体_GB2312" w:hint="eastAsia"/>
        <w:i/>
        <w:color w:val="943634"/>
        <w:sz w:val="24"/>
      </w:rPr>
      <w:t>条款</w:t>
    </w:r>
  </w:p>
  <w:p w:rsidR="00176B36" w:rsidRPr="00582C73" w:rsidRDefault="00176B36" w:rsidP="00582C73">
    <w:pPr>
      <w:pStyle w:val="a4"/>
      <w:ind w:right="180"/>
      <w:rPr>
        <w:color w:val="993300"/>
      </w:rPr>
    </w:pPr>
    <w:r w:rsidRPr="00CF4272">
      <w:rPr>
        <w:rFonts w:hint="eastAsia"/>
        <w:b/>
        <w:i/>
        <w:color w:val="993300"/>
      </w:rPr>
      <w:t xml:space="preserve">  </w:t>
    </w:r>
    <w:r w:rsidRPr="00844646">
      <w:rPr>
        <w:rFonts w:hint="eastAsia"/>
        <w:b/>
        <w:i/>
        <w:color w:val="D98719"/>
      </w:rPr>
      <w:t xml:space="preserve">           </w:t>
    </w:r>
    <w:r w:rsidRPr="00844646">
      <w:rPr>
        <w:rFonts w:hint="eastAsia"/>
        <w:b/>
        <w:i/>
        <w:color w:val="D98719"/>
      </w:rPr>
      <w:tab/>
    </w:r>
    <w:r w:rsidR="00FF3A5D" w:rsidRPr="00FB2280">
      <w:rPr>
        <w:b/>
        <w:color w:val="993300"/>
      </w:rPr>
      <w:fldChar w:fldCharType="begin"/>
    </w:r>
    <w:r w:rsidRPr="00FB2280">
      <w:rPr>
        <w:b/>
        <w:color w:val="993300"/>
      </w:rPr>
      <w:instrText xml:space="preserve"> PAGE </w:instrText>
    </w:r>
    <w:r w:rsidR="00FF3A5D" w:rsidRPr="00FB2280">
      <w:rPr>
        <w:b/>
        <w:color w:val="993300"/>
      </w:rPr>
      <w:fldChar w:fldCharType="separate"/>
    </w:r>
    <w:r w:rsidR="009056BA">
      <w:rPr>
        <w:b/>
        <w:noProof/>
        <w:color w:val="993300"/>
      </w:rPr>
      <w:t>16</w:t>
    </w:r>
    <w:r w:rsidR="00FF3A5D" w:rsidRPr="00FB2280">
      <w:rPr>
        <w:b/>
        <w:color w:val="993300"/>
      </w:rPr>
      <w:fldChar w:fldCharType="end"/>
    </w:r>
    <w:r w:rsidRPr="00FB2280">
      <w:rPr>
        <w:rFonts w:hint="eastAsia"/>
        <w:b/>
        <w:color w:val="993300"/>
      </w:rPr>
      <w:t xml:space="preserve"> / </w:t>
    </w:r>
    <w:r>
      <w:rPr>
        <w:rFonts w:hint="eastAsia"/>
        <w:b/>
        <w:color w:val="993300"/>
      </w:rPr>
      <w:t>1</w:t>
    </w:r>
    <w:r w:rsidR="004058F4">
      <w:rPr>
        <w:rFonts w:hint="eastAsia"/>
        <w:b/>
        <w:color w:val="993300"/>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14C" w:rsidRDefault="00AF714C">
      <w:r>
        <w:separator/>
      </w:r>
    </w:p>
  </w:footnote>
  <w:footnote w:type="continuationSeparator" w:id="1">
    <w:p w:rsidR="00AF714C" w:rsidRDefault="00AF71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B36" w:rsidRPr="009F0049" w:rsidRDefault="00176B36" w:rsidP="00625C75">
    <w:pPr>
      <w:pStyle w:val="a3"/>
      <w:pBdr>
        <w:bottom w:val="single" w:sz="6" w:space="0" w:color="auto"/>
      </w:pBdr>
      <w:jc w:val="both"/>
    </w:pPr>
    <w:r w:rsidRPr="003838FC">
      <w:rPr>
        <w:noProof/>
      </w:rPr>
      <w:drawing>
        <wp:inline distT="0" distB="0" distL="0" distR="0">
          <wp:extent cx="1209528" cy="333954"/>
          <wp:effectExtent l="1905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10433" cy="334204"/>
                  </a:xfrm>
                  <a:prstGeom prst="rect">
                    <a:avLst/>
                  </a:prstGeom>
                  <a:noFill/>
                  <a:ln w="9525">
                    <a:noFill/>
                    <a:miter lim="800000"/>
                    <a:headEnd/>
                    <a:tailEnd/>
                  </a:ln>
                </pic:spPr>
              </pic:pic>
            </a:graphicData>
          </a:graphic>
        </wp:inline>
      </w:drawing>
    </w:r>
    <w:r>
      <w:rPr>
        <w:rFonts w:hint="eastAsia"/>
      </w:rPr>
      <w:t xml:space="preserve">                                                         </w:t>
    </w:r>
    <w:r w:rsidRPr="00A11983">
      <w:rPr>
        <w:rFonts w:ascii="华文楷体" w:eastAsia="华文楷体" w:hAnsi="华文楷体" w:hint="eastAsia"/>
        <w:color w:val="993300"/>
        <w:sz w:val="21"/>
        <w:szCs w:val="21"/>
      </w:rPr>
      <w:t>铅锌</w:t>
    </w:r>
    <w:r>
      <w:rPr>
        <w:rFonts w:ascii="华文楷体" w:eastAsia="华文楷体" w:hAnsi="华文楷体" w:hint="eastAsia"/>
        <w:color w:val="993300"/>
        <w:sz w:val="21"/>
        <w:szCs w:val="21"/>
      </w:rPr>
      <w:t>深度</w:t>
    </w:r>
    <w:r w:rsidRPr="00A11983">
      <w:rPr>
        <w:rFonts w:ascii="华文楷体" w:eastAsia="华文楷体" w:hAnsi="华文楷体" w:hint="eastAsia"/>
        <w:color w:val="993300"/>
        <w:sz w:val="21"/>
        <w:szCs w:val="21"/>
      </w:rPr>
      <w:t>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B36" w:rsidRDefault="00176B36" w:rsidP="006D2B8C">
    <w:pPr>
      <w:pStyle w:val="a3"/>
      <w:jc w:val="both"/>
    </w:pPr>
    <w:r w:rsidRPr="005C0B37">
      <w:rPr>
        <w:noProof/>
      </w:rPr>
      <w:drawing>
        <wp:inline distT="0" distB="0" distL="0" distR="0">
          <wp:extent cx="1209528" cy="333954"/>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10433" cy="334204"/>
                  </a:xfrm>
                  <a:prstGeom prst="rect">
                    <a:avLst/>
                  </a:prstGeom>
                  <a:noFill/>
                  <a:ln w="9525">
                    <a:noFill/>
                    <a:miter lim="800000"/>
                    <a:headEnd/>
                    <a:tailEnd/>
                  </a:ln>
                </pic:spPr>
              </pic:pic>
            </a:graphicData>
          </a:graphic>
        </wp:inline>
      </w:drawing>
    </w:r>
    <w:r>
      <w:rPr>
        <w:rFonts w:hint="eastAsia"/>
      </w:rPr>
      <w:t xml:space="preserve">                                                         </w:t>
    </w:r>
    <w:r w:rsidRPr="00B6052C">
      <w:rPr>
        <w:rFonts w:ascii="华文楷体" w:eastAsia="华文楷体" w:hAnsi="华文楷体" w:hint="eastAsia"/>
        <w:b/>
        <w:color w:val="993300"/>
        <w:sz w:val="21"/>
        <w:szCs w:val="21"/>
      </w:rPr>
      <w:t>铅锌</w:t>
    </w:r>
    <w:r>
      <w:rPr>
        <w:rFonts w:ascii="华文楷体" w:eastAsia="华文楷体" w:hAnsi="华文楷体" w:hint="eastAsia"/>
        <w:b/>
        <w:color w:val="993300"/>
        <w:sz w:val="21"/>
        <w:szCs w:val="21"/>
      </w:rPr>
      <w:t>深度</w:t>
    </w:r>
    <w:r w:rsidRPr="00B6052C">
      <w:rPr>
        <w:rFonts w:ascii="华文楷体" w:eastAsia="华文楷体" w:hAnsi="华文楷体" w:hint="eastAsia"/>
        <w:b/>
        <w:color w:val="993300"/>
        <w:sz w:val="21"/>
        <w:szCs w:val="21"/>
      </w:rPr>
      <w:t>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722DD"/>
    <w:multiLevelType w:val="hybridMultilevel"/>
    <w:tmpl w:val="F2B0076A"/>
    <w:lvl w:ilvl="0" w:tplc="8C622C62">
      <w:numFmt w:val="bullet"/>
      <w:lvlText w:val="●"/>
      <w:lvlJc w:val="left"/>
      <w:pPr>
        <w:ind w:left="1080" w:hanging="660"/>
      </w:pPr>
      <w:rPr>
        <w:rFonts w:ascii="楷体_GB2312" w:eastAsia="楷体_GB2312" w:hAnsi="Times New Roman"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05733409"/>
    <w:multiLevelType w:val="hybridMultilevel"/>
    <w:tmpl w:val="130E6918"/>
    <w:lvl w:ilvl="0" w:tplc="A5009C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5123EC"/>
    <w:multiLevelType w:val="hybridMultilevel"/>
    <w:tmpl w:val="8FF07918"/>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3">
    <w:nsid w:val="0DB8772B"/>
    <w:multiLevelType w:val="hybridMultilevel"/>
    <w:tmpl w:val="9CCA863E"/>
    <w:lvl w:ilvl="0" w:tplc="C5B42FD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A160232"/>
    <w:multiLevelType w:val="hybridMultilevel"/>
    <w:tmpl w:val="AC7A4F9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273E216A"/>
    <w:multiLevelType w:val="hybridMultilevel"/>
    <w:tmpl w:val="2AC0822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1885B85"/>
    <w:multiLevelType w:val="hybridMultilevel"/>
    <w:tmpl w:val="6F0A3F1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34403A9C"/>
    <w:multiLevelType w:val="hybridMultilevel"/>
    <w:tmpl w:val="7FD47C5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885729E"/>
    <w:multiLevelType w:val="hybridMultilevel"/>
    <w:tmpl w:val="3C842066"/>
    <w:lvl w:ilvl="0" w:tplc="D2E8B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6D3465"/>
    <w:multiLevelType w:val="hybridMultilevel"/>
    <w:tmpl w:val="5D9EF100"/>
    <w:lvl w:ilvl="0" w:tplc="C5B42FD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DD30AE7"/>
    <w:multiLevelType w:val="hybridMultilevel"/>
    <w:tmpl w:val="88DAA57A"/>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3FAF672D"/>
    <w:multiLevelType w:val="hybridMultilevel"/>
    <w:tmpl w:val="60344A3A"/>
    <w:lvl w:ilvl="0" w:tplc="0409000F">
      <w:start w:val="1"/>
      <w:numFmt w:val="decimal"/>
      <w:lvlText w:val="%1."/>
      <w:lvlJc w:val="left"/>
      <w:pPr>
        <w:tabs>
          <w:tab w:val="num" w:pos="780"/>
        </w:tabs>
        <w:ind w:left="780" w:hanging="420"/>
      </w:pPr>
      <w:rPr>
        <w:rFonts w:hint="default"/>
      </w:rPr>
    </w:lvl>
    <w:lvl w:ilvl="1" w:tplc="0409000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2">
    <w:nsid w:val="402627B5"/>
    <w:multiLevelType w:val="hybridMultilevel"/>
    <w:tmpl w:val="31FE35B0"/>
    <w:lvl w:ilvl="0" w:tplc="9E50EBFE">
      <w:start w:val="3"/>
      <w:numFmt w:val="decimal"/>
      <w:lvlText w:val="%1．"/>
      <w:lvlJc w:val="left"/>
      <w:pPr>
        <w:tabs>
          <w:tab w:val="num" w:pos="360"/>
        </w:tabs>
        <w:ind w:left="360" w:hanging="36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43C06E1C"/>
    <w:multiLevelType w:val="hybridMultilevel"/>
    <w:tmpl w:val="8E2A6C36"/>
    <w:lvl w:ilvl="0" w:tplc="C23CFA36">
      <w:start w:val="4"/>
      <w:numFmt w:val="bullet"/>
      <w:lvlText w:val="●"/>
      <w:lvlJc w:val="left"/>
      <w:pPr>
        <w:ind w:left="780" w:hanging="360"/>
      </w:pPr>
      <w:rPr>
        <w:rFonts w:ascii="楷体_GB2312" w:eastAsia="楷体_GB2312" w:hAnsi="Times New Roman"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46F73472"/>
    <w:multiLevelType w:val="multilevel"/>
    <w:tmpl w:val="55F03CAC"/>
    <w:lvl w:ilvl="0">
      <w:start w:val="3"/>
      <w:numFmt w:val="decimal"/>
      <w:lvlText w:val="%1"/>
      <w:lvlJc w:val="left"/>
      <w:pPr>
        <w:tabs>
          <w:tab w:val="num" w:pos="420"/>
        </w:tabs>
        <w:ind w:left="420" w:hanging="420"/>
      </w:pPr>
      <w:rPr>
        <w:rFonts w:hAnsi="宋体" w:hint="default"/>
      </w:rPr>
    </w:lvl>
    <w:lvl w:ilvl="1">
      <w:start w:val="1"/>
      <w:numFmt w:val="decimal"/>
      <w:lvlText w:val="%1.%2"/>
      <w:lvlJc w:val="left"/>
      <w:pPr>
        <w:tabs>
          <w:tab w:val="num" w:pos="420"/>
        </w:tabs>
        <w:ind w:left="420" w:hanging="420"/>
      </w:pPr>
      <w:rPr>
        <w:rFonts w:hAnsi="宋体" w:hint="default"/>
      </w:rPr>
    </w:lvl>
    <w:lvl w:ilvl="2">
      <w:start w:val="2"/>
      <w:numFmt w:val="decimal"/>
      <w:lvlText w:val="%1.%2.%3"/>
      <w:lvlJc w:val="left"/>
      <w:pPr>
        <w:tabs>
          <w:tab w:val="num" w:pos="720"/>
        </w:tabs>
        <w:ind w:left="720" w:hanging="720"/>
      </w:pPr>
      <w:rPr>
        <w:rFonts w:hAnsi="宋体" w:hint="default"/>
      </w:rPr>
    </w:lvl>
    <w:lvl w:ilvl="3">
      <w:start w:val="1"/>
      <w:numFmt w:val="decimal"/>
      <w:lvlText w:val="%1.%2.%3.%4"/>
      <w:lvlJc w:val="left"/>
      <w:pPr>
        <w:tabs>
          <w:tab w:val="num" w:pos="720"/>
        </w:tabs>
        <w:ind w:left="720" w:hanging="720"/>
      </w:pPr>
      <w:rPr>
        <w:rFonts w:hAnsi="宋体" w:hint="default"/>
      </w:rPr>
    </w:lvl>
    <w:lvl w:ilvl="4">
      <w:start w:val="1"/>
      <w:numFmt w:val="decimal"/>
      <w:lvlText w:val="%1.%2.%3.%4.%5"/>
      <w:lvlJc w:val="left"/>
      <w:pPr>
        <w:tabs>
          <w:tab w:val="num" w:pos="1080"/>
        </w:tabs>
        <w:ind w:left="1080" w:hanging="1080"/>
      </w:pPr>
      <w:rPr>
        <w:rFonts w:hAnsi="宋体" w:hint="default"/>
      </w:rPr>
    </w:lvl>
    <w:lvl w:ilvl="5">
      <w:start w:val="1"/>
      <w:numFmt w:val="decimal"/>
      <w:lvlText w:val="%1.%2.%3.%4.%5.%6"/>
      <w:lvlJc w:val="left"/>
      <w:pPr>
        <w:tabs>
          <w:tab w:val="num" w:pos="1080"/>
        </w:tabs>
        <w:ind w:left="1080" w:hanging="1080"/>
      </w:pPr>
      <w:rPr>
        <w:rFonts w:hAnsi="宋体" w:hint="default"/>
      </w:rPr>
    </w:lvl>
    <w:lvl w:ilvl="6">
      <w:start w:val="1"/>
      <w:numFmt w:val="decimal"/>
      <w:lvlText w:val="%1.%2.%3.%4.%5.%6.%7"/>
      <w:lvlJc w:val="left"/>
      <w:pPr>
        <w:tabs>
          <w:tab w:val="num" w:pos="1080"/>
        </w:tabs>
        <w:ind w:left="1080" w:hanging="1080"/>
      </w:pPr>
      <w:rPr>
        <w:rFonts w:hAnsi="宋体" w:hint="default"/>
      </w:rPr>
    </w:lvl>
    <w:lvl w:ilvl="7">
      <w:start w:val="1"/>
      <w:numFmt w:val="decimal"/>
      <w:lvlText w:val="%1.%2.%3.%4.%5.%6.%7.%8"/>
      <w:lvlJc w:val="left"/>
      <w:pPr>
        <w:tabs>
          <w:tab w:val="num" w:pos="1440"/>
        </w:tabs>
        <w:ind w:left="1440" w:hanging="1440"/>
      </w:pPr>
      <w:rPr>
        <w:rFonts w:hAnsi="宋体" w:hint="default"/>
      </w:rPr>
    </w:lvl>
    <w:lvl w:ilvl="8">
      <w:start w:val="1"/>
      <w:numFmt w:val="decimal"/>
      <w:lvlText w:val="%1.%2.%3.%4.%5.%6.%7.%8.%9"/>
      <w:lvlJc w:val="left"/>
      <w:pPr>
        <w:tabs>
          <w:tab w:val="num" w:pos="1440"/>
        </w:tabs>
        <w:ind w:left="1440" w:hanging="1440"/>
      </w:pPr>
      <w:rPr>
        <w:rFonts w:hAnsi="宋体" w:hint="default"/>
      </w:rPr>
    </w:lvl>
  </w:abstractNum>
  <w:abstractNum w:abstractNumId="15">
    <w:nsid w:val="47802EFE"/>
    <w:multiLevelType w:val="multilevel"/>
    <w:tmpl w:val="EC78803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01E565A"/>
    <w:multiLevelType w:val="hybridMultilevel"/>
    <w:tmpl w:val="C7EA12C0"/>
    <w:lvl w:ilvl="0" w:tplc="9B30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48126AE"/>
    <w:multiLevelType w:val="multilevel"/>
    <w:tmpl w:val="323E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B550BA"/>
    <w:multiLevelType w:val="hybridMultilevel"/>
    <w:tmpl w:val="6EE48EBC"/>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9">
    <w:nsid w:val="5F836489"/>
    <w:multiLevelType w:val="hybridMultilevel"/>
    <w:tmpl w:val="41DCECF8"/>
    <w:lvl w:ilvl="0" w:tplc="0409000F">
      <w:start w:val="1"/>
      <w:numFmt w:val="decimal"/>
      <w:lvlText w:val="%1."/>
      <w:lvlJc w:val="left"/>
      <w:pPr>
        <w:tabs>
          <w:tab w:val="num" w:pos="420"/>
        </w:tabs>
        <w:ind w:left="420" w:hanging="420"/>
      </w:pPr>
      <w:rPr>
        <w:rFont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606D0B58"/>
    <w:multiLevelType w:val="multilevel"/>
    <w:tmpl w:val="D52C9FA0"/>
    <w:lvl w:ilvl="0">
      <w:start w:val="3"/>
      <w:numFmt w:val="decimal"/>
      <w:lvlText w:val="%1"/>
      <w:lvlJc w:val="left"/>
      <w:pPr>
        <w:tabs>
          <w:tab w:val="num" w:pos="420"/>
        </w:tabs>
        <w:ind w:left="420" w:hanging="420"/>
      </w:pPr>
      <w:rPr>
        <w:rFonts w:hAnsi="宋体" w:hint="default"/>
      </w:rPr>
    </w:lvl>
    <w:lvl w:ilvl="1">
      <w:start w:val="2"/>
      <w:numFmt w:val="decimal"/>
      <w:lvlText w:val="%1.%2"/>
      <w:lvlJc w:val="left"/>
      <w:pPr>
        <w:tabs>
          <w:tab w:val="num" w:pos="420"/>
        </w:tabs>
        <w:ind w:left="420" w:hanging="420"/>
      </w:pPr>
      <w:rPr>
        <w:rFonts w:hAnsi="宋体" w:hint="default"/>
      </w:rPr>
    </w:lvl>
    <w:lvl w:ilvl="2">
      <w:start w:val="1"/>
      <w:numFmt w:val="decimal"/>
      <w:lvlText w:val="%1.%2.%3"/>
      <w:lvlJc w:val="left"/>
      <w:pPr>
        <w:tabs>
          <w:tab w:val="num" w:pos="720"/>
        </w:tabs>
        <w:ind w:left="720" w:hanging="720"/>
      </w:pPr>
      <w:rPr>
        <w:rFonts w:hAnsi="宋体" w:hint="default"/>
      </w:rPr>
    </w:lvl>
    <w:lvl w:ilvl="3">
      <w:start w:val="1"/>
      <w:numFmt w:val="decimal"/>
      <w:lvlText w:val="%1.%2.%3.%4"/>
      <w:lvlJc w:val="left"/>
      <w:pPr>
        <w:tabs>
          <w:tab w:val="num" w:pos="720"/>
        </w:tabs>
        <w:ind w:left="720" w:hanging="720"/>
      </w:pPr>
      <w:rPr>
        <w:rFonts w:hAnsi="宋体" w:hint="default"/>
      </w:rPr>
    </w:lvl>
    <w:lvl w:ilvl="4">
      <w:start w:val="1"/>
      <w:numFmt w:val="decimal"/>
      <w:lvlText w:val="%1.%2.%3.%4.%5"/>
      <w:lvlJc w:val="left"/>
      <w:pPr>
        <w:tabs>
          <w:tab w:val="num" w:pos="1080"/>
        </w:tabs>
        <w:ind w:left="1080" w:hanging="1080"/>
      </w:pPr>
      <w:rPr>
        <w:rFonts w:hAnsi="宋体" w:hint="default"/>
      </w:rPr>
    </w:lvl>
    <w:lvl w:ilvl="5">
      <w:start w:val="1"/>
      <w:numFmt w:val="decimal"/>
      <w:lvlText w:val="%1.%2.%3.%4.%5.%6"/>
      <w:lvlJc w:val="left"/>
      <w:pPr>
        <w:tabs>
          <w:tab w:val="num" w:pos="1080"/>
        </w:tabs>
        <w:ind w:left="1080" w:hanging="1080"/>
      </w:pPr>
      <w:rPr>
        <w:rFonts w:hAnsi="宋体" w:hint="default"/>
      </w:rPr>
    </w:lvl>
    <w:lvl w:ilvl="6">
      <w:start w:val="1"/>
      <w:numFmt w:val="decimal"/>
      <w:lvlText w:val="%1.%2.%3.%4.%5.%6.%7"/>
      <w:lvlJc w:val="left"/>
      <w:pPr>
        <w:tabs>
          <w:tab w:val="num" w:pos="1080"/>
        </w:tabs>
        <w:ind w:left="1080" w:hanging="1080"/>
      </w:pPr>
      <w:rPr>
        <w:rFonts w:hAnsi="宋体" w:hint="default"/>
      </w:rPr>
    </w:lvl>
    <w:lvl w:ilvl="7">
      <w:start w:val="1"/>
      <w:numFmt w:val="decimal"/>
      <w:lvlText w:val="%1.%2.%3.%4.%5.%6.%7.%8"/>
      <w:lvlJc w:val="left"/>
      <w:pPr>
        <w:tabs>
          <w:tab w:val="num" w:pos="1440"/>
        </w:tabs>
        <w:ind w:left="1440" w:hanging="1440"/>
      </w:pPr>
      <w:rPr>
        <w:rFonts w:hAnsi="宋体" w:hint="default"/>
      </w:rPr>
    </w:lvl>
    <w:lvl w:ilvl="8">
      <w:start w:val="1"/>
      <w:numFmt w:val="decimal"/>
      <w:lvlText w:val="%1.%2.%3.%4.%5.%6.%7.%8.%9"/>
      <w:lvlJc w:val="left"/>
      <w:pPr>
        <w:tabs>
          <w:tab w:val="num" w:pos="1440"/>
        </w:tabs>
        <w:ind w:left="1440" w:hanging="1440"/>
      </w:pPr>
      <w:rPr>
        <w:rFonts w:hAnsi="宋体" w:hint="default"/>
      </w:rPr>
    </w:lvl>
  </w:abstractNum>
  <w:abstractNum w:abstractNumId="21">
    <w:nsid w:val="670F7173"/>
    <w:multiLevelType w:val="hybridMultilevel"/>
    <w:tmpl w:val="26921BBE"/>
    <w:lvl w:ilvl="0" w:tplc="07385DA4">
      <w:start w:val="21"/>
      <w:numFmt w:val="bullet"/>
      <w:lvlText w:val="●"/>
      <w:lvlJc w:val="left"/>
      <w:pPr>
        <w:tabs>
          <w:tab w:val="num" w:pos="360"/>
        </w:tabs>
        <w:ind w:left="360" w:hanging="360"/>
      </w:pPr>
      <w:rPr>
        <w:rFonts w:ascii="楷体_GB2312" w:eastAsia="楷体_GB2312"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F892FF6"/>
    <w:multiLevelType w:val="multilevel"/>
    <w:tmpl w:val="55F03CAC"/>
    <w:lvl w:ilvl="0">
      <w:start w:val="3"/>
      <w:numFmt w:val="decimal"/>
      <w:lvlText w:val="%1"/>
      <w:lvlJc w:val="left"/>
      <w:pPr>
        <w:tabs>
          <w:tab w:val="num" w:pos="420"/>
        </w:tabs>
        <w:ind w:left="420" w:hanging="420"/>
      </w:pPr>
      <w:rPr>
        <w:rFonts w:hAnsi="宋体" w:hint="default"/>
      </w:rPr>
    </w:lvl>
    <w:lvl w:ilvl="1">
      <w:start w:val="1"/>
      <w:numFmt w:val="decimal"/>
      <w:lvlText w:val="%1.%2"/>
      <w:lvlJc w:val="left"/>
      <w:pPr>
        <w:tabs>
          <w:tab w:val="num" w:pos="420"/>
        </w:tabs>
        <w:ind w:left="420" w:hanging="420"/>
      </w:pPr>
      <w:rPr>
        <w:rFonts w:hAnsi="宋体" w:hint="default"/>
      </w:rPr>
    </w:lvl>
    <w:lvl w:ilvl="2">
      <w:start w:val="2"/>
      <w:numFmt w:val="decimal"/>
      <w:lvlText w:val="%1.%2.%3"/>
      <w:lvlJc w:val="left"/>
      <w:pPr>
        <w:tabs>
          <w:tab w:val="num" w:pos="720"/>
        </w:tabs>
        <w:ind w:left="720" w:hanging="720"/>
      </w:pPr>
      <w:rPr>
        <w:rFonts w:hAnsi="宋体" w:hint="default"/>
      </w:rPr>
    </w:lvl>
    <w:lvl w:ilvl="3">
      <w:start w:val="1"/>
      <w:numFmt w:val="decimal"/>
      <w:lvlText w:val="%1.%2.%3.%4"/>
      <w:lvlJc w:val="left"/>
      <w:pPr>
        <w:tabs>
          <w:tab w:val="num" w:pos="720"/>
        </w:tabs>
        <w:ind w:left="720" w:hanging="720"/>
      </w:pPr>
      <w:rPr>
        <w:rFonts w:hAnsi="宋体" w:hint="default"/>
      </w:rPr>
    </w:lvl>
    <w:lvl w:ilvl="4">
      <w:start w:val="1"/>
      <w:numFmt w:val="decimal"/>
      <w:lvlText w:val="%1.%2.%3.%4.%5"/>
      <w:lvlJc w:val="left"/>
      <w:pPr>
        <w:tabs>
          <w:tab w:val="num" w:pos="1080"/>
        </w:tabs>
        <w:ind w:left="1080" w:hanging="1080"/>
      </w:pPr>
      <w:rPr>
        <w:rFonts w:hAnsi="宋体" w:hint="default"/>
      </w:rPr>
    </w:lvl>
    <w:lvl w:ilvl="5">
      <w:start w:val="1"/>
      <w:numFmt w:val="decimal"/>
      <w:lvlText w:val="%1.%2.%3.%4.%5.%6"/>
      <w:lvlJc w:val="left"/>
      <w:pPr>
        <w:tabs>
          <w:tab w:val="num" w:pos="1080"/>
        </w:tabs>
        <w:ind w:left="1080" w:hanging="1080"/>
      </w:pPr>
      <w:rPr>
        <w:rFonts w:hAnsi="宋体" w:hint="default"/>
      </w:rPr>
    </w:lvl>
    <w:lvl w:ilvl="6">
      <w:start w:val="1"/>
      <w:numFmt w:val="decimal"/>
      <w:lvlText w:val="%1.%2.%3.%4.%5.%6.%7"/>
      <w:lvlJc w:val="left"/>
      <w:pPr>
        <w:tabs>
          <w:tab w:val="num" w:pos="1080"/>
        </w:tabs>
        <w:ind w:left="1080" w:hanging="1080"/>
      </w:pPr>
      <w:rPr>
        <w:rFonts w:hAnsi="宋体" w:hint="default"/>
      </w:rPr>
    </w:lvl>
    <w:lvl w:ilvl="7">
      <w:start w:val="1"/>
      <w:numFmt w:val="decimal"/>
      <w:lvlText w:val="%1.%2.%3.%4.%5.%6.%7.%8"/>
      <w:lvlJc w:val="left"/>
      <w:pPr>
        <w:tabs>
          <w:tab w:val="num" w:pos="1440"/>
        </w:tabs>
        <w:ind w:left="1440" w:hanging="1440"/>
      </w:pPr>
      <w:rPr>
        <w:rFonts w:hAnsi="宋体" w:hint="default"/>
      </w:rPr>
    </w:lvl>
    <w:lvl w:ilvl="8">
      <w:start w:val="1"/>
      <w:numFmt w:val="decimal"/>
      <w:lvlText w:val="%1.%2.%3.%4.%5.%6.%7.%8.%9"/>
      <w:lvlJc w:val="left"/>
      <w:pPr>
        <w:tabs>
          <w:tab w:val="num" w:pos="1440"/>
        </w:tabs>
        <w:ind w:left="1440" w:hanging="1440"/>
      </w:pPr>
      <w:rPr>
        <w:rFonts w:hAnsi="宋体" w:hint="default"/>
      </w:rPr>
    </w:lvl>
  </w:abstractNum>
  <w:abstractNum w:abstractNumId="23">
    <w:nsid w:val="714A6AD9"/>
    <w:multiLevelType w:val="hybridMultilevel"/>
    <w:tmpl w:val="C0341B1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76236090"/>
    <w:multiLevelType w:val="multilevel"/>
    <w:tmpl w:val="9D14760A"/>
    <w:lvl w:ilvl="0">
      <w:start w:val="3"/>
      <w:numFmt w:val="decimal"/>
      <w:lvlText w:val="%1"/>
      <w:lvlJc w:val="left"/>
      <w:pPr>
        <w:tabs>
          <w:tab w:val="num" w:pos="420"/>
        </w:tabs>
        <w:ind w:left="420" w:hanging="420"/>
      </w:pPr>
      <w:rPr>
        <w:rFonts w:hAnsi="宋体" w:hint="default"/>
      </w:rPr>
    </w:lvl>
    <w:lvl w:ilvl="1">
      <w:start w:val="2"/>
      <w:numFmt w:val="decimal"/>
      <w:lvlText w:val="%1.%2"/>
      <w:lvlJc w:val="left"/>
      <w:pPr>
        <w:tabs>
          <w:tab w:val="num" w:pos="420"/>
        </w:tabs>
        <w:ind w:left="420" w:hanging="420"/>
      </w:pPr>
      <w:rPr>
        <w:rFonts w:hAnsi="宋体" w:hint="default"/>
      </w:rPr>
    </w:lvl>
    <w:lvl w:ilvl="2">
      <w:start w:val="2"/>
      <w:numFmt w:val="decimal"/>
      <w:lvlText w:val="%1.%2.%3"/>
      <w:lvlJc w:val="left"/>
      <w:pPr>
        <w:tabs>
          <w:tab w:val="num" w:pos="720"/>
        </w:tabs>
        <w:ind w:left="720" w:hanging="720"/>
      </w:pPr>
      <w:rPr>
        <w:rFonts w:hAnsi="宋体" w:hint="default"/>
      </w:rPr>
    </w:lvl>
    <w:lvl w:ilvl="3">
      <w:start w:val="1"/>
      <w:numFmt w:val="decimal"/>
      <w:lvlText w:val="%1.%2.%3.%4"/>
      <w:lvlJc w:val="left"/>
      <w:pPr>
        <w:tabs>
          <w:tab w:val="num" w:pos="720"/>
        </w:tabs>
        <w:ind w:left="720" w:hanging="720"/>
      </w:pPr>
      <w:rPr>
        <w:rFonts w:hAnsi="宋体" w:hint="default"/>
      </w:rPr>
    </w:lvl>
    <w:lvl w:ilvl="4">
      <w:start w:val="1"/>
      <w:numFmt w:val="decimal"/>
      <w:lvlText w:val="%1.%2.%3.%4.%5"/>
      <w:lvlJc w:val="left"/>
      <w:pPr>
        <w:tabs>
          <w:tab w:val="num" w:pos="1080"/>
        </w:tabs>
        <w:ind w:left="1080" w:hanging="1080"/>
      </w:pPr>
      <w:rPr>
        <w:rFonts w:hAnsi="宋体" w:hint="default"/>
      </w:rPr>
    </w:lvl>
    <w:lvl w:ilvl="5">
      <w:start w:val="1"/>
      <w:numFmt w:val="decimal"/>
      <w:lvlText w:val="%1.%2.%3.%4.%5.%6"/>
      <w:lvlJc w:val="left"/>
      <w:pPr>
        <w:tabs>
          <w:tab w:val="num" w:pos="1080"/>
        </w:tabs>
        <w:ind w:left="1080" w:hanging="1080"/>
      </w:pPr>
      <w:rPr>
        <w:rFonts w:hAnsi="宋体" w:hint="default"/>
      </w:rPr>
    </w:lvl>
    <w:lvl w:ilvl="6">
      <w:start w:val="1"/>
      <w:numFmt w:val="decimal"/>
      <w:lvlText w:val="%1.%2.%3.%4.%5.%6.%7"/>
      <w:lvlJc w:val="left"/>
      <w:pPr>
        <w:tabs>
          <w:tab w:val="num" w:pos="1080"/>
        </w:tabs>
        <w:ind w:left="1080" w:hanging="1080"/>
      </w:pPr>
      <w:rPr>
        <w:rFonts w:hAnsi="宋体" w:hint="default"/>
      </w:rPr>
    </w:lvl>
    <w:lvl w:ilvl="7">
      <w:start w:val="1"/>
      <w:numFmt w:val="decimal"/>
      <w:lvlText w:val="%1.%2.%3.%4.%5.%6.%7.%8"/>
      <w:lvlJc w:val="left"/>
      <w:pPr>
        <w:tabs>
          <w:tab w:val="num" w:pos="1440"/>
        </w:tabs>
        <w:ind w:left="1440" w:hanging="1440"/>
      </w:pPr>
      <w:rPr>
        <w:rFonts w:hAnsi="宋体" w:hint="default"/>
      </w:rPr>
    </w:lvl>
    <w:lvl w:ilvl="8">
      <w:start w:val="1"/>
      <w:numFmt w:val="decimal"/>
      <w:lvlText w:val="%1.%2.%3.%4.%5.%6.%7.%8.%9"/>
      <w:lvlJc w:val="left"/>
      <w:pPr>
        <w:tabs>
          <w:tab w:val="num" w:pos="1440"/>
        </w:tabs>
        <w:ind w:left="1440" w:hanging="1440"/>
      </w:pPr>
      <w:rPr>
        <w:rFonts w:hAnsi="宋体" w:hint="default"/>
      </w:rPr>
    </w:lvl>
  </w:abstractNum>
  <w:abstractNum w:abstractNumId="25">
    <w:nsid w:val="7DE5194C"/>
    <w:multiLevelType w:val="hybridMultilevel"/>
    <w:tmpl w:val="F34C585E"/>
    <w:lvl w:ilvl="0" w:tplc="28DA8558">
      <w:start w:val="1"/>
      <w:numFmt w:val="decimal"/>
      <w:lvlText w:val="%1、"/>
      <w:lvlJc w:val="left"/>
      <w:pPr>
        <w:ind w:left="390" w:hanging="39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1"/>
  </w:num>
  <w:num w:numId="3">
    <w:abstractNumId w:val="18"/>
  </w:num>
  <w:num w:numId="4">
    <w:abstractNumId w:val="2"/>
  </w:num>
  <w:num w:numId="5">
    <w:abstractNumId w:val="11"/>
  </w:num>
  <w:num w:numId="6">
    <w:abstractNumId w:val="23"/>
  </w:num>
  <w:num w:numId="7">
    <w:abstractNumId w:val="19"/>
  </w:num>
  <w:num w:numId="8">
    <w:abstractNumId w:val="7"/>
  </w:num>
  <w:num w:numId="9">
    <w:abstractNumId w:val="6"/>
  </w:num>
  <w:num w:numId="10">
    <w:abstractNumId w:val="15"/>
  </w:num>
  <w:num w:numId="11">
    <w:abstractNumId w:val="22"/>
  </w:num>
  <w:num w:numId="12">
    <w:abstractNumId w:val="12"/>
  </w:num>
  <w:num w:numId="13">
    <w:abstractNumId w:val="24"/>
  </w:num>
  <w:num w:numId="14">
    <w:abstractNumId w:val="20"/>
  </w:num>
  <w:num w:numId="15">
    <w:abstractNumId w:val="14"/>
  </w:num>
  <w:num w:numId="16">
    <w:abstractNumId w:val="8"/>
  </w:num>
  <w:num w:numId="17">
    <w:abstractNumId w:val="10"/>
  </w:num>
  <w:num w:numId="18">
    <w:abstractNumId w:val="17"/>
  </w:num>
  <w:num w:numId="19">
    <w:abstractNumId w:val="13"/>
  </w:num>
  <w:num w:numId="20">
    <w:abstractNumId w:val="25"/>
  </w:num>
  <w:num w:numId="21">
    <w:abstractNumId w:val="5"/>
  </w:num>
  <w:num w:numId="22">
    <w:abstractNumId w:val="0"/>
  </w:num>
  <w:num w:numId="23">
    <w:abstractNumId w:val="16"/>
  </w:num>
  <w:num w:numId="24">
    <w:abstractNumId w:val="9"/>
  </w:num>
  <w:num w:numId="25">
    <w:abstractNumId w:val="3"/>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41314">
      <o:colormenu v:ext="edit" strokecolor="#002060"/>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74F1"/>
    <w:rsid w:val="00000032"/>
    <w:rsid w:val="00000715"/>
    <w:rsid w:val="0000132D"/>
    <w:rsid w:val="000026FA"/>
    <w:rsid w:val="00002E30"/>
    <w:rsid w:val="00003BFC"/>
    <w:rsid w:val="00003DC2"/>
    <w:rsid w:val="00004CC4"/>
    <w:rsid w:val="000057E1"/>
    <w:rsid w:val="00006E51"/>
    <w:rsid w:val="000074C7"/>
    <w:rsid w:val="000078F9"/>
    <w:rsid w:val="000104DC"/>
    <w:rsid w:val="000107F8"/>
    <w:rsid w:val="00010B72"/>
    <w:rsid w:val="0001128B"/>
    <w:rsid w:val="0001130C"/>
    <w:rsid w:val="000117B3"/>
    <w:rsid w:val="000137B6"/>
    <w:rsid w:val="000138B5"/>
    <w:rsid w:val="000144D0"/>
    <w:rsid w:val="00014657"/>
    <w:rsid w:val="00014FA5"/>
    <w:rsid w:val="00015723"/>
    <w:rsid w:val="000165CD"/>
    <w:rsid w:val="00020FBA"/>
    <w:rsid w:val="0002104C"/>
    <w:rsid w:val="00023A39"/>
    <w:rsid w:val="00023E2F"/>
    <w:rsid w:val="00024AA7"/>
    <w:rsid w:val="00025510"/>
    <w:rsid w:val="00025978"/>
    <w:rsid w:val="00025E6F"/>
    <w:rsid w:val="000273F1"/>
    <w:rsid w:val="00027763"/>
    <w:rsid w:val="00031CBA"/>
    <w:rsid w:val="000328FF"/>
    <w:rsid w:val="00034344"/>
    <w:rsid w:val="000346CA"/>
    <w:rsid w:val="00035EB0"/>
    <w:rsid w:val="000377D7"/>
    <w:rsid w:val="00037921"/>
    <w:rsid w:val="000402BF"/>
    <w:rsid w:val="00041B18"/>
    <w:rsid w:val="00041DD7"/>
    <w:rsid w:val="000420AA"/>
    <w:rsid w:val="0004252F"/>
    <w:rsid w:val="00042689"/>
    <w:rsid w:val="00044943"/>
    <w:rsid w:val="00045625"/>
    <w:rsid w:val="00045EC1"/>
    <w:rsid w:val="00045FF1"/>
    <w:rsid w:val="000462B3"/>
    <w:rsid w:val="000466D4"/>
    <w:rsid w:val="00046CEE"/>
    <w:rsid w:val="000472D7"/>
    <w:rsid w:val="000474B8"/>
    <w:rsid w:val="00050BEB"/>
    <w:rsid w:val="0005163C"/>
    <w:rsid w:val="0005202D"/>
    <w:rsid w:val="000528A9"/>
    <w:rsid w:val="00052E47"/>
    <w:rsid w:val="0005354F"/>
    <w:rsid w:val="000540F3"/>
    <w:rsid w:val="00054EE5"/>
    <w:rsid w:val="00056173"/>
    <w:rsid w:val="000561CF"/>
    <w:rsid w:val="00057784"/>
    <w:rsid w:val="00057A1F"/>
    <w:rsid w:val="00057AFA"/>
    <w:rsid w:val="00060373"/>
    <w:rsid w:val="00060814"/>
    <w:rsid w:val="000610CA"/>
    <w:rsid w:val="000617C7"/>
    <w:rsid w:val="000628FD"/>
    <w:rsid w:val="000629B7"/>
    <w:rsid w:val="00064802"/>
    <w:rsid w:val="00065DBB"/>
    <w:rsid w:val="00066964"/>
    <w:rsid w:val="000670CA"/>
    <w:rsid w:val="00071393"/>
    <w:rsid w:val="00072D6B"/>
    <w:rsid w:val="000754AF"/>
    <w:rsid w:val="00077B02"/>
    <w:rsid w:val="00077E19"/>
    <w:rsid w:val="00082E0E"/>
    <w:rsid w:val="000839FC"/>
    <w:rsid w:val="00083C81"/>
    <w:rsid w:val="00084313"/>
    <w:rsid w:val="00084865"/>
    <w:rsid w:val="00085283"/>
    <w:rsid w:val="000852F2"/>
    <w:rsid w:val="000857E8"/>
    <w:rsid w:val="00086BC8"/>
    <w:rsid w:val="00086C2F"/>
    <w:rsid w:val="00086E49"/>
    <w:rsid w:val="00087A0A"/>
    <w:rsid w:val="00090A29"/>
    <w:rsid w:val="00090BE3"/>
    <w:rsid w:val="00093A06"/>
    <w:rsid w:val="00095372"/>
    <w:rsid w:val="000957E1"/>
    <w:rsid w:val="000A19DE"/>
    <w:rsid w:val="000A1D9E"/>
    <w:rsid w:val="000A2FFE"/>
    <w:rsid w:val="000A3AC5"/>
    <w:rsid w:val="000A6B31"/>
    <w:rsid w:val="000B078F"/>
    <w:rsid w:val="000B1404"/>
    <w:rsid w:val="000B1F85"/>
    <w:rsid w:val="000B39DA"/>
    <w:rsid w:val="000B39FF"/>
    <w:rsid w:val="000B4631"/>
    <w:rsid w:val="000B4D13"/>
    <w:rsid w:val="000B65DD"/>
    <w:rsid w:val="000B6719"/>
    <w:rsid w:val="000B724C"/>
    <w:rsid w:val="000C090F"/>
    <w:rsid w:val="000C200D"/>
    <w:rsid w:val="000C359F"/>
    <w:rsid w:val="000C492A"/>
    <w:rsid w:val="000C54DC"/>
    <w:rsid w:val="000C62E6"/>
    <w:rsid w:val="000C6D74"/>
    <w:rsid w:val="000C7927"/>
    <w:rsid w:val="000D09DC"/>
    <w:rsid w:val="000D14B1"/>
    <w:rsid w:val="000D17F9"/>
    <w:rsid w:val="000D1B6B"/>
    <w:rsid w:val="000D1C30"/>
    <w:rsid w:val="000D1DD5"/>
    <w:rsid w:val="000D2A0C"/>
    <w:rsid w:val="000D4E06"/>
    <w:rsid w:val="000D5168"/>
    <w:rsid w:val="000D562D"/>
    <w:rsid w:val="000D59F9"/>
    <w:rsid w:val="000D65ED"/>
    <w:rsid w:val="000D6EB1"/>
    <w:rsid w:val="000D7330"/>
    <w:rsid w:val="000E0E3A"/>
    <w:rsid w:val="000E0E4A"/>
    <w:rsid w:val="000E15D5"/>
    <w:rsid w:val="000E3341"/>
    <w:rsid w:val="000E3F35"/>
    <w:rsid w:val="000E4362"/>
    <w:rsid w:val="000E5EFC"/>
    <w:rsid w:val="000E695D"/>
    <w:rsid w:val="000E74FF"/>
    <w:rsid w:val="000E7748"/>
    <w:rsid w:val="000F1351"/>
    <w:rsid w:val="000F1C73"/>
    <w:rsid w:val="000F201F"/>
    <w:rsid w:val="000F389B"/>
    <w:rsid w:val="000F42C0"/>
    <w:rsid w:val="000F66CB"/>
    <w:rsid w:val="000F6BC9"/>
    <w:rsid w:val="000F6C0A"/>
    <w:rsid w:val="000F72DF"/>
    <w:rsid w:val="00100E22"/>
    <w:rsid w:val="001012E6"/>
    <w:rsid w:val="00104369"/>
    <w:rsid w:val="00104ED1"/>
    <w:rsid w:val="00104FE1"/>
    <w:rsid w:val="00105BCD"/>
    <w:rsid w:val="001062A6"/>
    <w:rsid w:val="00106B79"/>
    <w:rsid w:val="00107EDF"/>
    <w:rsid w:val="0011022B"/>
    <w:rsid w:val="00110E93"/>
    <w:rsid w:val="001128A5"/>
    <w:rsid w:val="00112ACA"/>
    <w:rsid w:val="00113673"/>
    <w:rsid w:val="0011368B"/>
    <w:rsid w:val="00113CB0"/>
    <w:rsid w:val="00113D26"/>
    <w:rsid w:val="00115238"/>
    <w:rsid w:val="00115C79"/>
    <w:rsid w:val="00116B81"/>
    <w:rsid w:val="0011731D"/>
    <w:rsid w:val="00120892"/>
    <w:rsid w:val="00120A89"/>
    <w:rsid w:val="00121B4D"/>
    <w:rsid w:val="00124356"/>
    <w:rsid w:val="00125432"/>
    <w:rsid w:val="001258B2"/>
    <w:rsid w:val="00126743"/>
    <w:rsid w:val="00126DD9"/>
    <w:rsid w:val="0012700C"/>
    <w:rsid w:val="0013047E"/>
    <w:rsid w:val="00130B70"/>
    <w:rsid w:val="00130CB1"/>
    <w:rsid w:val="0013137A"/>
    <w:rsid w:val="00131461"/>
    <w:rsid w:val="001319B0"/>
    <w:rsid w:val="001322B9"/>
    <w:rsid w:val="00132B22"/>
    <w:rsid w:val="00134609"/>
    <w:rsid w:val="00136407"/>
    <w:rsid w:val="00136475"/>
    <w:rsid w:val="00137A90"/>
    <w:rsid w:val="00141535"/>
    <w:rsid w:val="00141B8F"/>
    <w:rsid w:val="00142859"/>
    <w:rsid w:val="001430D4"/>
    <w:rsid w:val="00143234"/>
    <w:rsid w:val="00143284"/>
    <w:rsid w:val="0014534A"/>
    <w:rsid w:val="00145559"/>
    <w:rsid w:val="00146595"/>
    <w:rsid w:val="00151D3E"/>
    <w:rsid w:val="00151EB7"/>
    <w:rsid w:val="00152652"/>
    <w:rsid w:val="00152A3C"/>
    <w:rsid w:val="0015545E"/>
    <w:rsid w:val="00155530"/>
    <w:rsid w:val="001556F8"/>
    <w:rsid w:val="00155CD6"/>
    <w:rsid w:val="001562DF"/>
    <w:rsid w:val="0015636F"/>
    <w:rsid w:val="00156DBC"/>
    <w:rsid w:val="00157D3F"/>
    <w:rsid w:val="00160F17"/>
    <w:rsid w:val="00161168"/>
    <w:rsid w:val="00161B2D"/>
    <w:rsid w:val="00162135"/>
    <w:rsid w:val="00162E28"/>
    <w:rsid w:val="00163242"/>
    <w:rsid w:val="00163551"/>
    <w:rsid w:val="001637AD"/>
    <w:rsid w:val="00163B0E"/>
    <w:rsid w:val="0016416B"/>
    <w:rsid w:val="00165428"/>
    <w:rsid w:val="00165A35"/>
    <w:rsid w:val="00165A41"/>
    <w:rsid w:val="00166AFE"/>
    <w:rsid w:val="001671DD"/>
    <w:rsid w:val="00167EDC"/>
    <w:rsid w:val="001702C2"/>
    <w:rsid w:val="0017154A"/>
    <w:rsid w:val="00171CF1"/>
    <w:rsid w:val="00172050"/>
    <w:rsid w:val="00172072"/>
    <w:rsid w:val="00172AC2"/>
    <w:rsid w:val="001739C2"/>
    <w:rsid w:val="00175CBB"/>
    <w:rsid w:val="00176190"/>
    <w:rsid w:val="0017685A"/>
    <w:rsid w:val="00176B36"/>
    <w:rsid w:val="00177577"/>
    <w:rsid w:val="001820A9"/>
    <w:rsid w:val="0018376F"/>
    <w:rsid w:val="00183A4C"/>
    <w:rsid w:val="00183FDB"/>
    <w:rsid w:val="00185513"/>
    <w:rsid w:val="00185C0E"/>
    <w:rsid w:val="001863D2"/>
    <w:rsid w:val="00186E63"/>
    <w:rsid w:val="00186FD0"/>
    <w:rsid w:val="0018757F"/>
    <w:rsid w:val="00190FBD"/>
    <w:rsid w:val="00191399"/>
    <w:rsid w:val="0019142B"/>
    <w:rsid w:val="00191E8F"/>
    <w:rsid w:val="001932E6"/>
    <w:rsid w:val="00193F8E"/>
    <w:rsid w:val="00196B20"/>
    <w:rsid w:val="00196E4F"/>
    <w:rsid w:val="001977C4"/>
    <w:rsid w:val="00197AE0"/>
    <w:rsid w:val="001A030D"/>
    <w:rsid w:val="001A32BD"/>
    <w:rsid w:val="001A32EE"/>
    <w:rsid w:val="001A355A"/>
    <w:rsid w:val="001A3861"/>
    <w:rsid w:val="001A3BF0"/>
    <w:rsid w:val="001A419C"/>
    <w:rsid w:val="001A4481"/>
    <w:rsid w:val="001A6914"/>
    <w:rsid w:val="001B2C1D"/>
    <w:rsid w:val="001B4A8F"/>
    <w:rsid w:val="001B4B52"/>
    <w:rsid w:val="001B4B5B"/>
    <w:rsid w:val="001B4D9E"/>
    <w:rsid w:val="001B5D24"/>
    <w:rsid w:val="001C048F"/>
    <w:rsid w:val="001C04DA"/>
    <w:rsid w:val="001C2600"/>
    <w:rsid w:val="001C2B7C"/>
    <w:rsid w:val="001C2D24"/>
    <w:rsid w:val="001C2F23"/>
    <w:rsid w:val="001C3116"/>
    <w:rsid w:val="001C35B5"/>
    <w:rsid w:val="001C4049"/>
    <w:rsid w:val="001C4BAE"/>
    <w:rsid w:val="001C51DB"/>
    <w:rsid w:val="001C569C"/>
    <w:rsid w:val="001C6641"/>
    <w:rsid w:val="001C706A"/>
    <w:rsid w:val="001D075D"/>
    <w:rsid w:val="001D16BA"/>
    <w:rsid w:val="001D27A7"/>
    <w:rsid w:val="001D2F23"/>
    <w:rsid w:val="001D3CA4"/>
    <w:rsid w:val="001D3F9E"/>
    <w:rsid w:val="001D407D"/>
    <w:rsid w:val="001D48DC"/>
    <w:rsid w:val="001D4F6B"/>
    <w:rsid w:val="001D615A"/>
    <w:rsid w:val="001D634C"/>
    <w:rsid w:val="001E001E"/>
    <w:rsid w:val="001E0063"/>
    <w:rsid w:val="001E0941"/>
    <w:rsid w:val="001E0D69"/>
    <w:rsid w:val="001E244A"/>
    <w:rsid w:val="001E3DCB"/>
    <w:rsid w:val="001E3F57"/>
    <w:rsid w:val="001E6E4C"/>
    <w:rsid w:val="001E731C"/>
    <w:rsid w:val="001E791A"/>
    <w:rsid w:val="001F0153"/>
    <w:rsid w:val="001F0172"/>
    <w:rsid w:val="001F0B9B"/>
    <w:rsid w:val="001F0E63"/>
    <w:rsid w:val="001F353B"/>
    <w:rsid w:val="001F3C8A"/>
    <w:rsid w:val="001F4A65"/>
    <w:rsid w:val="001F5280"/>
    <w:rsid w:val="001F66D6"/>
    <w:rsid w:val="00200AD1"/>
    <w:rsid w:val="00203307"/>
    <w:rsid w:val="00207440"/>
    <w:rsid w:val="002076D7"/>
    <w:rsid w:val="002100CC"/>
    <w:rsid w:val="00211855"/>
    <w:rsid w:val="0021199A"/>
    <w:rsid w:val="00211E2D"/>
    <w:rsid w:val="0021230D"/>
    <w:rsid w:val="00212CC6"/>
    <w:rsid w:val="00214A66"/>
    <w:rsid w:val="00215386"/>
    <w:rsid w:val="00215F40"/>
    <w:rsid w:val="0021600C"/>
    <w:rsid w:val="00216270"/>
    <w:rsid w:val="0021757B"/>
    <w:rsid w:val="0021792B"/>
    <w:rsid w:val="00217F0C"/>
    <w:rsid w:val="002208B6"/>
    <w:rsid w:val="002210EB"/>
    <w:rsid w:val="00221DF0"/>
    <w:rsid w:val="00223E1E"/>
    <w:rsid w:val="0022405D"/>
    <w:rsid w:val="002246C7"/>
    <w:rsid w:val="0023021D"/>
    <w:rsid w:val="0023066A"/>
    <w:rsid w:val="00230F37"/>
    <w:rsid w:val="0023160B"/>
    <w:rsid w:val="00232218"/>
    <w:rsid w:val="002333C8"/>
    <w:rsid w:val="00233D99"/>
    <w:rsid w:val="00234155"/>
    <w:rsid w:val="00234AC6"/>
    <w:rsid w:val="00235F90"/>
    <w:rsid w:val="00235FEC"/>
    <w:rsid w:val="0023739E"/>
    <w:rsid w:val="00237583"/>
    <w:rsid w:val="002376A5"/>
    <w:rsid w:val="00237CA7"/>
    <w:rsid w:val="00240B6E"/>
    <w:rsid w:val="00241A9B"/>
    <w:rsid w:val="00241EB8"/>
    <w:rsid w:val="00242E19"/>
    <w:rsid w:val="00242F13"/>
    <w:rsid w:val="0024784E"/>
    <w:rsid w:val="002508AC"/>
    <w:rsid w:val="002534B5"/>
    <w:rsid w:val="00253C51"/>
    <w:rsid w:val="002551F8"/>
    <w:rsid w:val="00255515"/>
    <w:rsid w:val="002558B5"/>
    <w:rsid w:val="00257888"/>
    <w:rsid w:val="002638B3"/>
    <w:rsid w:val="00263AC0"/>
    <w:rsid w:val="0026412E"/>
    <w:rsid w:val="00266822"/>
    <w:rsid w:val="00266AE0"/>
    <w:rsid w:val="00267598"/>
    <w:rsid w:val="00267A3B"/>
    <w:rsid w:val="00270143"/>
    <w:rsid w:val="00270CF5"/>
    <w:rsid w:val="00270E9B"/>
    <w:rsid w:val="002721AD"/>
    <w:rsid w:val="002735FB"/>
    <w:rsid w:val="0027377C"/>
    <w:rsid w:val="00273972"/>
    <w:rsid w:val="002762D7"/>
    <w:rsid w:val="0027649C"/>
    <w:rsid w:val="00276812"/>
    <w:rsid w:val="0027780E"/>
    <w:rsid w:val="00277BFD"/>
    <w:rsid w:val="00280715"/>
    <w:rsid w:val="00281DDC"/>
    <w:rsid w:val="00282114"/>
    <w:rsid w:val="0028350A"/>
    <w:rsid w:val="002838A7"/>
    <w:rsid w:val="0028396A"/>
    <w:rsid w:val="00283E79"/>
    <w:rsid w:val="00286AA2"/>
    <w:rsid w:val="00290D0B"/>
    <w:rsid w:val="00291C1E"/>
    <w:rsid w:val="00291D59"/>
    <w:rsid w:val="002924AD"/>
    <w:rsid w:val="0029269E"/>
    <w:rsid w:val="00292819"/>
    <w:rsid w:val="00293246"/>
    <w:rsid w:val="002938E2"/>
    <w:rsid w:val="00293C8D"/>
    <w:rsid w:val="00295631"/>
    <w:rsid w:val="00295C9F"/>
    <w:rsid w:val="002969F8"/>
    <w:rsid w:val="00297615"/>
    <w:rsid w:val="002A0004"/>
    <w:rsid w:val="002A07F5"/>
    <w:rsid w:val="002A275B"/>
    <w:rsid w:val="002A3371"/>
    <w:rsid w:val="002A3BC8"/>
    <w:rsid w:val="002A3CA7"/>
    <w:rsid w:val="002A4D1B"/>
    <w:rsid w:val="002A53F1"/>
    <w:rsid w:val="002B0F71"/>
    <w:rsid w:val="002B1D68"/>
    <w:rsid w:val="002B22B7"/>
    <w:rsid w:val="002B258F"/>
    <w:rsid w:val="002B4688"/>
    <w:rsid w:val="002B4FCF"/>
    <w:rsid w:val="002B52DF"/>
    <w:rsid w:val="002B5B6D"/>
    <w:rsid w:val="002B6BAC"/>
    <w:rsid w:val="002B7382"/>
    <w:rsid w:val="002B7CC5"/>
    <w:rsid w:val="002B7D0A"/>
    <w:rsid w:val="002C0347"/>
    <w:rsid w:val="002C0C0A"/>
    <w:rsid w:val="002C1688"/>
    <w:rsid w:val="002C172D"/>
    <w:rsid w:val="002C270D"/>
    <w:rsid w:val="002C3029"/>
    <w:rsid w:val="002C3D64"/>
    <w:rsid w:val="002C3E32"/>
    <w:rsid w:val="002C4F49"/>
    <w:rsid w:val="002C5035"/>
    <w:rsid w:val="002C620A"/>
    <w:rsid w:val="002C63A6"/>
    <w:rsid w:val="002D0624"/>
    <w:rsid w:val="002D08C6"/>
    <w:rsid w:val="002D1074"/>
    <w:rsid w:val="002D160D"/>
    <w:rsid w:val="002D1735"/>
    <w:rsid w:val="002D17CB"/>
    <w:rsid w:val="002D224E"/>
    <w:rsid w:val="002D2557"/>
    <w:rsid w:val="002D2E62"/>
    <w:rsid w:val="002D446B"/>
    <w:rsid w:val="002D467E"/>
    <w:rsid w:val="002D6EB5"/>
    <w:rsid w:val="002D754F"/>
    <w:rsid w:val="002D76F7"/>
    <w:rsid w:val="002D7B2A"/>
    <w:rsid w:val="002E0FBF"/>
    <w:rsid w:val="002E1407"/>
    <w:rsid w:val="002E1707"/>
    <w:rsid w:val="002E2D58"/>
    <w:rsid w:val="002E2DE4"/>
    <w:rsid w:val="002E38D9"/>
    <w:rsid w:val="002E4052"/>
    <w:rsid w:val="002E40B2"/>
    <w:rsid w:val="002E4721"/>
    <w:rsid w:val="002E4DD7"/>
    <w:rsid w:val="002E5F78"/>
    <w:rsid w:val="002E60EB"/>
    <w:rsid w:val="002E7C2D"/>
    <w:rsid w:val="002F056B"/>
    <w:rsid w:val="002F05E3"/>
    <w:rsid w:val="002F1274"/>
    <w:rsid w:val="002F12E0"/>
    <w:rsid w:val="002F1695"/>
    <w:rsid w:val="002F2164"/>
    <w:rsid w:val="002F2990"/>
    <w:rsid w:val="002F2A20"/>
    <w:rsid w:val="002F41FA"/>
    <w:rsid w:val="002F59E0"/>
    <w:rsid w:val="002F5BD7"/>
    <w:rsid w:val="002F5F85"/>
    <w:rsid w:val="002F6230"/>
    <w:rsid w:val="002F6F52"/>
    <w:rsid w:val="003018FC"/>
    <w:rsid w:val="00302201"/>
    <w:rsid w:val="00302F58"/>
    <w:rsid w:val="003040B7"/>
    <w:rsid w:val="00304238"/>
    <w:rsid w:val="003055CC"/>
    <w:rsid w:val="0030681B"/>
    <w:rsid w:val="00306EB1"/>
    <w:rsid w:val="00310134"/>
    <w:rsid w:val="003104F1"/>
    <w:rsid w:val="00311633"/>
    <w:rsid w:val="00313C87"/>
    <w:rsid w:val="0031408B"/>
    <w:rsid w:val="00315724"/>
    <w:rsid w:val="00317B24"/>
    <w:rsid w:val="0032198F"/>
    <w:rsid w:val="00322470"/>
    <w:rsid w:val="0032255D"/>
    <w:rsid w:val="003225C1"/>
    <w:rsid w:val="003240F4"/>
    <w:rsid w:val="00324C1F"/>
    <w:rsid w:val="003251DE"/>
    <w:rsid w:val="003252D9"/>
    <w:rsid w:val="00325452"/>
    <w:rsid w:val="00326775"/>
    <w:rsid w:val="00330604"/>
    <w:rsid w:val="00330ABF"/>
    <w:rsid w:val="003321B0"/>
    <w:rsid w:val="00333A96"/>
    <w:rsid w:val="00333DCF"/>
    <w:rsid w:val="0033671B"/>
    <w:rsid w:val="00336D3A"/>
    <w:rsid w:val="00341C82"/>
    <w:rsid w:val="00341E23"/>
    <w:rsid w:val="00341E43"/>
    <w:rsid w:val="00342331"/>
    <w:rsid w:val="00342DDE"/>
    <w:rsid w:val="00343A5A"/>
    <w:rsid w:val="00345F76"/>
    <w:rsid w:val="0034662B"/>
    <w:rsid w:val="0034677E"/>
    <w:rsid w:val="00346C7A"/>
    <w:rsid w:val="00347C2E"/>
    <w:rsid w:val="003505A5"/>
    <w:rsid w:val="00350E77"/>
    <w:rsid w:val="00351C82"/>
    <w:rsid w:val="0035222C"/>
    <w:rsid w:val="00354385"/>
    <w:rsid w:val="0035452D"/>
    <w:rsid w:val="0035624B"/>
    <w:rsid w:val="0035629A"/>
    <w:rsid w:val="00357F5F"/>
    <w:rsid w:val="00360EF5"/>
    <w:rsid w:val="00362DF2"/>
    <w:rsid w:val="00362F89"/>
    <w:rsid w:val="003633DB"/>
    <w:rsid w:val="003636DC"/>
    <w:rsid w:val="00363954"/>
    <w:rsid w:val="00363BD1"/>
    <w:rsid w:val="00364D60"/>
    <w:rsid w:val="00365186"/>
    <w:rsid w:val="00366EDB"/>
    <w:rsid w:val="00370BE1"/>
    <w:rsid w:val="00375417"/>
    <w:rsid w:val="00376264"/>
    <w:rsid w:val="00376386"/>
    <w:rsid w:val="00376B61"/>
    <w:rsid w:val="00376D0D"/>
    <w:rsid w:val="00377A58"/>
    <w:rsid w:val="003803AA"/>
    <w:rsid w:val="00381D3B"/>
    <w:rsid w:val="00383466"/>
    <w:rsid w:val="003838FC"/>
    <w:rsid w:val="003848C4"/>
    <w:rsid w:val="00384922"/>
    <w:rsid w:val="00385A00"/>
    <w:rsid w:val="0038718D"/>
    <w:rsid w:val="003900B7"/>
    <w:rsid w:val="00390B41"/>
    <w:rsid w:val="00391750"/>
    <w:rsid w:val="00391ECC"/>
    <w:rsid w:val="00392276"/>
    <w:rsid w:val="003928F1"/>
    <w:rsid w:val="00392961"/>
    <w:rsid w:val="00394BB3"/>
    <w:rsid w:val="00394CCD"/>
    <w:rsid w:val="00396C58"/>
    <w:rsid w:val="003A087A"/>
    <w:rsid w:val="003A41E7"/>
    <w:rsid w:val="003A5671"/>
    <w:rsid w:val="003A64C5"/>
    <w:rsid w:val="003A71D2"/>
    <w:rsid w:val="003B3C1D"/>
    <w:rsid w:val="003B4566"/>
    <w:rsid w:val="003B47ED"/>
    <w:rsid w:val="003B55DC"/>
    <w:rsid w:val="003B7ADE"/>
    <w:rsid w:val="003B7DBC"/>
    <w:rsid w:val="003C02C7"/>
    <w:rsid w:val="003C137D"/>
    <w:rsid w:val="003C1C9F"/>
    <w:rsid w:val="003C27B9"/>
    <w:rsid w:val="003C2CC5"/>
    <w:rsid w:val="003C2E83"/>
    <w:rsid w:val="003C39F1"/>
    <w:rsid w:val="003C3A07"/>
    <w:rsid w:val="003C4B31"/>
    <w:rsid w:val="003C4DA4"/>
    <w:rsid w:val="003C5F7B"/>
    <w:rsid w:val="003C684F"/>
    <w:rsid w:val="003C6AB5"/>
    <w:rsid w:val="003D14FF"/>
    <w:rsid w:val="003D1E24"/>
    <w:rsid w:val="003D2364"/>
    <w:rsid w:val="003D2A3A"/>
    <w:rsid w:val="003D3003"/>
    <w:rsid w:val="003D37C2"/>
    <w:rsid w:val="003D3DCD"/>
    <w:rsid w:val="003D5E3F"/>
    <w:rsid w:val="003D7128"/>
    <w:rsid w:val="003D7549"/>
    <w:rsid w:val="003D7CFB"/>
    <w:rsid w:val="003E0034"/>
    <w:rsid w:val="003E0136"/>
    <w:rsid w:val="003E1866"/>
    <w:rsid w:val="003E220D"/>
    <w:rsid w:val="003E4876"/>
    <w:rsid w:val="003E51A5"/>
    <w:rsid w:val="003E59E5"/>
    <w:rsid w:val="003E5CDF"/>
    <w:rsid w:val="003E5DE3"/>
    <w:rsid w:val="003E6133"/>
    <w:rsid w:val="003E6FD8"/>
    <w:rsid w:val="003F1490"/>
    <w:rsid w:val="003F1505"/>
    <w:rsid w:val="003F1834"/>
    <w:rsid w:val="003F1C33"/>
    <w:rsid w:val="003F1CD1"/>
    <w:rsid w:val="003F1EC2"/>
    <w:rsid w:val="003F21B2"/>
    <w:rsid w:val="003F3700"/>
    <w:rsid w:val="003F4FD0"/>
    <w:rsid w:val="003F5241"/>
    <w:rsid w:val="003F634A"/>
    <w:rsid w:val="003F7464"/>
    <w:rsid w:val="0040071D"/>
    <w:rsid w:val="004026CA"/>
    <w:rsid w:val="0040307C"/>
    <w:rsid w:val="004032B7"/>
    <w:rsid w:val="004058F4"/>
    <w:rsid w:val="00406531"/>
    <w:rsid w:val="004070A8"/>
    <w:rsid w:val="00407442"/>
    <w:rsid w:val="004076E4"/>
    <w:rsid w:val="00407BAC"/>
    <w:rsid w:val="00410228"/>
    <w:rsid w:val="004110EB"/>
    <w:rsid w:val="0041134E"/>
    <w:rsid w:val="004150F4"/>
    <w:rsid w:val="00415284"/>
    <w:rsid w:val="00415D9F"/>
    <w:rsid w:val="0041665F"/>
    <w:rsid w:val="004173C2"/>
    <w:rsid w:val="0041751E"/>
    <w:rsid w:val="00420104"/>
    <w:rsid w:val="00420ABE"/>
    <w:rsid w:val="00420D79"/>
    <w:rsid w:val="00420D93"/>
    <w:rsid w:val="0042161F"/>
    <w:rsid w:val="00422580"/>
    <w:rsid w:val="004235F5"/>
    <w:rsid w:val="0042379E"/>
    <w:rsid w:val="004237DF"/>
    <w:rsid w:val="0042431E"/>
    <w:rsid w:val="004256AA"/>
    <w:rsid w:val="004271E9"/>
    <w:rsid w:val="00427465"/>
    <w:rsid w:val="00427FEE"/>
    <w:rsid w:val="00432121"/>
    <w:rsid w:val="0043295A"/>
    <w:rsid w:val="0043637E"/>
    <w:rsid w:val="004370F0"/>
    <w:rsid w:val="00437514"/>
    <w:rsid w:val="00437B4F"/>
    <w:rsid w:val="00441977"/>
    <w:rsid w:val="0044245B"/>
    <w:rsid w:val="00442E54"/>
    <w:rsid w:val="00444628"/>
    <w:rsid w:val="00444698"/>
    <w:rsid w:val="004452B3"/>
    <w:rsid w:val="0044595D"/>
    <w:rsid w:val="0045099F"/>
    <w:rsid w:val="00450FE2"/>
    <w:rsid w:val="00451C7A"/>
    <w:rsid w:val="00453302"/>
    <w:rsid w:val="00455181"/>
    <w:rsid w:val="0045534D"/>
    <w:rsid w:val="00457721"/>
    <w:rsid w:val="00457C97"/>
    <w:rsid w:val="004607CA"/>
    <w:rsid w:val="00461A90"/>
    <w:rsid w:val="00463481"/>
    <w:rsid w:val="00464289"/>
    <w:rsid w:val="0046432D"/>
    <w:rsid w:val="004653F7"/>
    <w:rsid w:val="0046545D"/>
    <w:rsid w:val="00465780"/>
    <w:rsid w:val="00465B71"/>
    <w:rsid w:val="00465EAF"/>
    <w:rsid w:val="00466DEC"/>
    <w:rsid w:val="00467165"/>
    <w:rsid w:val="00471338"/>
    <w:rsid w:val="0047234A"/>
    <w:rsid w:val="00473031"/>
    <w:rsid w:val="00474264"/>
    <w:rsid w:val="00474E65"/>
    <w:rsid w:val="00475A5E"/>
    <w:rsid w:val="00475B64"/>
    <w:rsid w:val="004764B8"/>
    <w:rsid w:val="00477018"/>
    <w:rsid w:val="00477711"/>
    <w:rsid w:val="004778C7"/>
    <w:rsid w:val="00477EA4"/>
    <w:rsid w:val="00477F68"/>
    <w:rsid w:val="00480F43"/>
    <w:rsid w:val="004825FA"/>
    <w:rsid w:val="0048339A"/>
    <w:rsid w:val="00485CA8"/>
    <w:rsid w:val="00487A22"/>
    <w:rsid w:val="00491569"/>
    <w:rsid w:val="004915FB"/>
    <w:rsid w:val="004918CB"/>
    <w:rsid w:val="00492699"/>
    <w:rsid w:val="00492ABF"/>
    <w:rsid w:val="0049354C"/>
    <w:rsid w:val="00493AFA"/>
    <w:rsid w:val="004951C6"/>
    <w:rsid w:val="0049556F"/>
    <w:rsid w:val="004972A1"/>
    <w:rsid w:val="004A1C0E"/>
    <w:rsid w:val="004A1FBD"/>
    <w:rsid w:val="004A4B74"/>
    <w:rsid w:val="004A5057"/>
    <w:rsid w:val="004A527B"/>
    <w:rsid w:val="004B19AE"/>
    <w:rsid w:val="004B2178"/>
    <w:rsid w:val="004B2410"/>
    <w:rsid w:val="004B278B"/>
    <w:rsid w:val="004B3060"/>
    <w:rsid w:val="004B3B74"/>
    <w:rsid w:val="004B5618"/>
    <w:rsid w:val="004B7166"/>
    <w:rsid w:val="004B7173"/>
    <w:rsid w:val="004B7A30"/>
    <w:rsid w:val="004B7ABB"/>
    <w:rsid w:val="004C1568"/>
    <w:rsid w:val="004C1772"/>
    <w:rsid w:val="004C1ECB"/>
    <w:rsid w:val="004C2476"/>
    <w:rsid w:val="004C354A"/>
    <w:rsid w:val="004C388D"/>
    <w:rsid w:val="004C7997"/>
    <w:rsid w:val="004D0150"/>
    <w:rsid w:val="004D06F8"/>
    <w:rsid w:val="004D19C5"/>
    <w:rsid w:val="004D40ED"/>
    <w:rsid w:val="004D56D2"/>
    <w:rsid w:val="004D6CCE"/>
    <w:rsid w:val="004D7908"/>
    <w:rsid w:val="004E1377"/>
    <w:rsid w:val="004E14D8"/>
    <w:rsid w:val="004E22F8"/>
    <w:rsid w:val="004E4424"/>
    <w:rsid w:val="004E44A4"/>
    <w:rsid w:val="004F12F2"/>
    <w:rsid w:val="004F2296"/>
    <w:rsid w:val="004F2443"/>
    <w:rsid w:val="004F2C86"/>
    <w:rsid w:val="004F44C8"/>
    <w:rsid w:val="004F4AB1"/>
    <w:rsid w:val="004F5CEF"/>
    <w:rsid w:val="004F5F24"/>
    <w:rsid w:val="004F702A"/>
    <w:rsid w:val="004F728D"/>
    <w:rsid w:val="00500A09"/>
    <w:rsid w:val="00500C38"/>
    <w:rsid w:val="005017A2"/>
    <w:rsid w:val="005019B7"/>
    <w:rsid w:val="00501BF4"/>
    <w:rsid w:val="00503395"/>
    <w:rsid w:val="0050375C"/>
    <w:rsid w:val="005060F5"/>
    <w:rsid w:val="0050639A"/>
    <w:rsid w:val="00507425"/>
    <w:rsid w:val="0051051E"/>
    <w:rsid w:val="00510561"/>
    <w:rsid w:val="00511668"/>
    <w:rsid w:val="005124E1"/>
    <w:rsid w:val="005130CC"/>
    <w:rsid w:val="00513210"/>
    <w:rsid w:val="005134A8"/>
    <w:rsid w:val="00513558"/>
    <w:rsid w:val="005135B3"/>
    <w:rsid w:val="005144E4"/>
    <w:rsid w:val="005148C7"/>
    <w:rsid w:val="005165D5"/>
    <w:rsid w:val="00520085"/>
    <w:rsid w:val="005207F7"/>
    <w:rsid w:val="00520887"/>
    <w:rsid w:val="005217D4"/>
    <w:rsid w:val="00521D1E"/>
    <w:rsid w:val="00522418"/>
    <w:rsid w:val="005240E5"/>
    <w:rsid w:val="005241EA"/>
    <w:rsid w:val="0052525F"/>
    <w:rsid w:val="005254F1"/>
    <w:rsid w:val="0052625D"/>
    <w:rsid w:val="00527170"/>
    <w:rsid w:val="00530941"/>
    <w:rsid w:val="00530D89"/>
    <w:rsid w:val="0053192A"/>
    <w:rsid w:val="00532158"/>
    <w:rsid w:val="00533809"/>
    <w:rsid w:val="00535111"/>
    <w:rsid w:val="005357CE"/>
    <w:rsid w:val="00537C3B"/>
    <w:rsid w:val="00540312"/>
    <w:rsid w:val="005448ED"/>
    <w:rsid w:val="00545D48"/>
    <w:rsid w:val="00545ED8"/>
    <w:rsid w:val="00546264"/>
    <w:rsid w:val="00546452"/>
    <w:rsid w:val="00550AFD"/>
    <w:rsid w:val="005513A2"/>
    <w:rsid w:val="0055151E"/>
    <w:rsid w:val="0055230D"/>
    <w:rsid w:val="005531F8"/>
    <w:rsid w:val="00554287"/>
    <w:rsid w:val="00554AF0"/>
    <w:rsid w:val="0055524B"/>
    <w:rsid w:val="00555911"/>
    <w:rsid w:val="00555A4D"/>
    <w:rsid w:val="00556393"/>
    <w:rsid w:val="00556C59"/>
    <w:rsid w:val="005573BC"/>
    <w:rsid w:val="0055763C"/>
    <w:rsid w:val="0056033C"/>
    <w:rsid w:val="00560BD1"/>
    <w:rsid w:val="00560C99"/>
    <w:rsid w:val="00560D52"/>
    <w:rsid w:val="0056100D"/>
    <w:rsid w:val="00562163"/>
    <w:rsid w:val="00562196"/>
    <w:rsid w:val="00562A44"/>
    <w:rsid w:val="005635E2"/>
    <w:rsid w:val="00563628"/>
    <w:rsid w:val="005642A1"/>
    <w:rsid w:val="00564357"/>
    <w:rsid w:val="005651B2"/>
    <w:rsid w:val="0056688A"/>
    <w:rsid w:val="0057253C"/>
    <w:rsid w:val="00572B38"/>
    <w:rsid w:val="00573750"/>
    <w:rsid w:val="005753CA"/>
    <w:rsid w:val="00575769"/>
    <w:rsid w:val="00575C1A"/>
    <w:rsid w:val="00575DA2"/>
    <w:rsid w:val="00576D86"/>
    <w:rsid w:val="005771D8"/>
    <w:rsid w:val="00580C90"/>
    <w:rsid w:val="00580EE3"/>
    <w:rsid w:val="00581A72"/>
    <w:rsid w:val="00581D98"/>
    <w:rsid w:val="00581EBE"/>
    <w:rsid w:val="00582521"/>
    <w:rsid w:val="00582C73"/>
    <w:rsid w:val="0058363F"/>
    <w:rsid w:val="00583D00"/>
    <w:rsid w:val="00584902"/>
    <w:rsid w:val="0058684B"/>
    <w:rsid w:val="00586DC6"/>
    <w:rsid w:val="00587C06"/>
    <w:rsid w:val="005905D9"/>
    <w:rsid w:val="0059131B"/>
    <w:rsid w:val="00593B7D"/>
    <w:rsid w:val="00594004"/>
    <w:rsid w:val="00595830"/>
    <w:rsid w:val="0059600F"/>
    <w:rsid w:val="00596541"/>
    <w:rsid w:val="00597393"/>
    <w:rsid w:val="00597A8C"/>
    <w:rsid w:val="005A16E7"/>
    <w:rsid w:val="005A2F2A"/>
    <w:rsid w:val="005A4909"/>
    <w:rsid w:val="005A5A00"/>
    <w:rsid w:val="005A5F4C"/>
    <w:rsid w:val="005A6983"/>
    <w:rsid w:val="005A7F7F"/>
    <w:rsid w:val="005B0C93"/>
    <w:rsid w:val="005B1733"/>
    <w:rsid w:val="005B2395"/>
    <w:rsid w:val="005B35B1"/>
    <w:rsid w:val="005B3631"/>
    <w:rsid w:val="005B50D8"/>
    <w:rsid w:val="005B59A6"/>
    <w:rsid w:val="005B5ADE"/>
    <w:rsid w:val="005B7449"/>
    <w:rsid w:val="005C0B37"/>
    <w:rsid w:val="005C2F5C"/>
    <w:rsid w:val="005C321A"/>
    <w:rsid w:val="005C5AAD"/>
    <w:rsid w:val="005C5E71"/>
    <w:rsid w:val="005C7C1D"/>
    <w:rsid w:val="005C7D38"/>
    <w:rsid w:val="005D0786"/>
    <w:rsid w:val="005D1D60"/>
    <w:rsid w:val="005D1EA2"/>
    <w:rsid w:val="005D1F66"/>
    <w:rsid w:val="005D23E3"/>
    <w:rsid w:val="005D2957"/>
    <w:rsid w:val="005D31D1"/>
    <w:rsid w:val="005D3373"/>
    <w:rsid w:val="005D3EDF"/>
    <w:rsid w:val="005D53E6"/>
    <w:rsid w:val="005D595C"/>
    <w:rsid w:val="005D6D04"/>
    <w:rsid w:val="005D711A"/>
    <w:rsid w:val="005D730B"/>
    <w:rsid w:val="005D7FC4"/>
    <w:rsid w:val="005E136B"/>
    <w:rsid w:val="005E1EBA"/>
    <w:rsid w:val="005E36CD"/>
    <w:rsid w:val="005E444E"/>
    <w:rsid w:val="005E4DD9"/>
    <w:rsid w:val="005E562D"/>
    <w:rsid w:val="005E5966"/>
    <w:rsid w:val="005E5BD8"/>
    <w:rsid w:val="005E62A6"/>
    <w:rsid w:val="005E7ADD"/>
    <w:rsid w:val="005E7F36"/>
    <w:rsid w:val="005F0598"/>
    <w:rsid w:val="005F1E8E"/>
    <w:rsid w:val="005F204A"/>
    <w:rsid w:val="005F29A5"/>
    <w:rsid w:val="005F334E"/>
    <w:rsid w:val="005F3EF3"/>
    <w:rsid w:val="005F5BC6"/>
    <w:rsid w:val="005F7110"/>
    <w:rsid w:val="005F7D0A"/>
    <w:rsid w:val="005F7F59"/>
    <w:rsid w:val="0060121F"/>
    <w:rsid w:val="0060339C"/>
    <w:rsid w:val="006038BB"/>
    <w:rsid w:val="00604BD1"/>
    <w:rsid w:val="006058D3"/>
    <w:rsid w:val="006064A0"/>
    <w:rsid w:val="006067B7"/>
    <w:rsid w:val="006067F8"/>
    <w:rsid w:val="006068A4"/>
    <w:rsid w:val="00606934"/>
    <w:rsid w:val="00611533"/>
    <w:rsid w:val="00616397"/>
    <w:rsid w:val="00617F30"/>
    <w:rsid w:val="00617F65"/>
    <w:rsid w:val="00621164"/>
    <w:rsid w:val="00621E58"/>
    <w:rsid w:val="0062241D"/>
    <w:rsid w:val="00623672"/>
    <w:rsid w:val="006242AE"/>
    <w:rsid w:val="006243F3"/>
    <w:rsid w:val="00625C75"/>
    <w:rsid w:val="00626419"/>
    <w:rsid w:val="00627AA3"/>
    <w:rsid w:val="00635E11"/>
    <w:rsid w:val="00636B97"/>
    <w:rsid w:val="00637B52"/>
    <w:rsid w:val="00641342"/>
    <w:rsid w:val="006428CF"/>
    <w:rsid w:val="00643582"/>
    <w:rsid w:val="0064423D"/>
    <w:rsid w:val="006463BB"/>
    <w:rsid w:val="006476A8"/>
    <w:rsid w:val="00650792"/>
    <w:rsid w:val="00650E8D"/>
    <w:rsid w:val="00650F17"/>
    <w:rsid w:val="00653063"/>
    <w:rsid w:val="00653929"/>
    <w:rsid w:val="006548C4"/>
    <w:rsid w:val="00654FA6"/>
    <w:rsid w:val="006550E7"/>
    <w:rsid w:val="00656EC0"/>
    <w:rsid w:val="00657BFE"/>
    <w:rsid w:val="00657CA8"/>
    <w:rsid w:val="006607FB"/>
    <w:rsid w:val="00662CD5"/>
    <w:rsid w:val="00663B25"/>
    <w:rsid w:val="00664921"/>
    <w:rsid w:val="006674A0"/>
    <w:rsid w:val="00670E97"/>
    <w:rsid w:val="0067258C"/>
    <w:rsid w:val="006741DA"/>
    <w:rsid w:val="006750ED"/>
    <w:rsid w:val="00675948"/>
    <w:rsid w:val="00675A5C"/>
    <w:rsid w:val="00677B31"/>
    <w:rsid w:val="00677D33"/>
    <w:rsid w:val="006810B6"/>
    <w:rsid w:val="00681297"/>
    <w:rsid w:val="006833BF"/>
    <w:rsid w:val="00683CB2"/>
    <w:rsid w:val="006847F1"/>
    <w:rsid w:val="00684980"/>
    <w:rsid w:val="00686752"/>
    <w:rsid w:val="00686E17"/>
    <w:rsid w:val="00686F2D"/>
    <w:rsid w:val="006873A2"/>
    <w:rsid w:val="00687B44"/>
    <w:rsid w:val="00690BA4"/>
    <w:rsid w:val="006918DA"/>
    <w:rsid w:val="00691C1F"/>
    <w:rsid w:val="006925B8"/>
    <w:rsid w:val="00693878"/>
    <w:rsid w:val="006964E5"/>
    <w:rsid w:val="00696C47"/>
    <w:rsid w:val="006A06F0"/>
    <w:rsid w:val="006A2049"/>
    <w:rsid w:val="006A25D4"/>
    <w:rsid w:val="006A32B7"/>
    <w:rsid w:val="006A3ACD"/>
    <w:rsid w:val="006A490D"/>
    <w:rsid w:val="006A5FC2"/>
    <w:rsid w:val="006A6561"/>
    <w:rsid w:val="006A7645"/>
    <w:rsid w:val="006B04FC"/>
    <w:rsid w:val="006B4223"/>
    <w:rsid w:val="006B5952"/>
    <w:rsid w:val="006B66EB"/>
    <w:rsid w:val="006C13F3"/>
    <w:rsid w:val="006C2421"/>
    <w:rsid w:val="006C262F"/>
    <w:rsid w:val="006C27D1"/>
    <w:rsid w:val="006C2B95"/>
    <w:rsid w:val="006C4289"/>
    <w:rsid w:val="006C454C"/>
    <w:rsid w:val="006D1182"/>
    <w:rsid w:val="006D1204"/>
    <w:rsid w:val="006D2B8C"/>
    <w:rsid w:val="006D33D7"/>
    <w:rsid w:val="006D3A89"/>
    <w:rsid w:val="006D4E2E"/>
    <w:rsid w:val="006D55F6"/>
    <w:rsid w:val="006D563B"/>
    <w:rsid w:val="006D7B0E"/>
    <w:rsid w:val="006E1769"/>
    <w:rsid w:val="006E3287"/>
    <w:rsid w:val="006E3595"/>
    <w:rsid w:val="006E3EBE"/>
    <w:rsid w:val="006E4456"/>
    <w:rsid w:val="006E5186"/>
    <w:rsid w:val="006E538C"/>
    <w:rsid w:val="006E54EF"/>
    <w:rsid w:val="006E6677"/>
    <w:rsid w:val="006E7162"/>
    <w:rsid w:val="006E7B87"/>
    <w:rsid w:val="006F08C8"/>
    <w:rsid w:val="006F1542"/>
    <w:rsid w:val="006F170D"/>
    <w:rsid w:val="006F26F5"/>
    <w:rsid w:val="006F3859"/>
    <w:rsid w:val="006F5204"/>
    <w:rsid w:val="006F590B"/>
    <w:rsid w:val="006F6D39"/>
    <w:rsid w:val="006F734B"/>
    <w:rsid w:val="006F7925"/>
    <w:rsid w:val="006F797B"/>
    <w:rsid w:val="006F7BEE"/>
    <w:rsid w:val="00701855"/>
    <w:rsid w:val="00701A00"/>
    <w:rsid w:val="007020AF"/>
    <w:rsid w:val="0070363F"/>
    <w:rsid w:val="00703768"/>
    <w:rsid w:val="007050BD"/>
    <w:rsid w:val="00705DE0"/>
    <w:rsid w:val="007062E3"/>
    <w:rsid w:val="007109CF"/>
    <w:rsid w:val="0071116E"/>
    <w:rsid w:val="007142C1"/>
    <w:rsid w:val="00714BDB"/>
    <w:rsid w:val="00716792"/>
    <w:rsid w:val="00716AC7"/>
    <w:rsid w:val="00717C11"/>
    <w:rsid w:val="00724661"/>
    <w:rsid w:val="00724FCA"/>
    <w:rsid w:val="00724FD5"/>
    <w:rsid w:val="00727218"/>
    <w:rsid w:val="00727D23"/>
    <w:rsid w:val="0073069E"/>
    <w:rsid w:val="00731191"/>
    <w:rsid w:val="00732550"/>
    <w:rsid w:val="007328DD"/>
    <w:rsid w:val="00732A02"/>
    <w:rsid w:val="0073384C"/>
    <w:rsid w:val="0073466A"/>
    <w:rsid w:val="00735200"/>
    <w:rsid w:val="00737C6F"/>
    <w:rsid w:val="007405C7"/>
    <w:rsid w:val="007407A8"/>
    <w:rsid w:val="00741D90"/>
    <w:rsid w:val="00741FDE"/>
    <w:rsid w:val="007428F6"/>
    <w:rsid w:val="00742B4E"/>
    <w:rsid w:val="00743D36"/>
    <w:rsid w:val="00744EF2"/>
    <w:rsid w:val="0074574A"/>
    <w:rsid w:val="00746EE4"/>
    <w:rsid w:val="007472D9"/>
    <w:rsid w:val="00747453"/>
    <w:rsid w:val="0075171A"/>
    <w:rsid w:val="0075388B"/>
    <w:rsid w:val="0075435F"/>
    <w:rsid w:val="007546CD"/>
    <w:rsid w:val="0075489E"/>
    <w:rsid w:val="007553E8"/>
    <w:rsid w:val="00756502"/>
    <w:rsid w:val="00756AB1"/>
    <w:rsid w:val="00757A72"/>
    <w:rsid w:val="00757B3F"/>
    <w:rsid w:val="00757D29"/>
    <w:rsid w:val="0076006C"/>
    <w:rsid w:val="00760695"/>
    <w:rsid w:val="00760B0E"/>
    <w:rsid w:val="00760B4C"/>
    <w:rsid w:val="00760EC4"/>
    <w:rsid w:val="00761463"/>
    <w:rsid w:val="00761998"/>
    <w:rsid w:val="00762230"/>
    <w:rsid w:val="00762BA3"/>
    <w:rsid w:val="00763542"/>
    <w:rsid w:val="00763FEA"/>
    <w:rsid w:val="00764739"/>
    <w:rsid w:val="00764A6D"/>
    <w:rsid w:val="00765451"/>
    <w:rsid w:val="007656A4"/>
    <w:rsid w:val="0076572A"/>
    <w:rsid w:val="007676D8"/>
    <w:rsid w:val="0077092E"/>
    <w:rsid w:val="00770F4D"/>
    <w:rsid w:val="007718EF"/>
    <w:rsid w:val="00772A92"/>
    <w:rsid w:val="007753D2"/>
    <w:rsid w:val="0077624A"/>
    <w:rsid w:val="00776687"/>
    <w:rsid w:val="00777E59"/>
    <w:rsid w:val="0078002D"/>
    <w:rsid w:val="007807B7"/>
    <w:rsid w:val="00783DA6"/>
    <w:rsid w:val="0078414F"/>
    <w:rsid w:val="007843F1"/>
    <w:rsid w:val="00791FE4"/>
    <w:rsid w:val="00792116"/>
    <w:rsid w:val="00792187"/>
    <w:rsid w:val="00793E26"/>
    <w:rsid w:val="00794A44"/>
    <w:rsid w:val="00795C32"/>
    <w:rsid w:val="00796419"/>
    <w:rsid w:val="0079664C"/>
    <w:rsid w:val="00796938"/>
    <w:rsid w:val="00797D52"/>
    <w:rsid w:val="00797EB3"/>
    <w:rsid w:val="007A08A1"/>
    <w:rsid w:val="007A160E"/>
    <w:rsid w:val="007A498F"/>
    <w:rsid w:val="007A59AB"/>
    <w:rsid w:val="007A68C6"/>
    <w:rsid w:val="007A69B6"/>
    <w:rsid w:val="007B07B8"/>
    <w:rsid w:val="007B0C16"/>
    <w:rsid w:val="007B117B"/>
    <w:rsid w:val="007B2E26"/>
    <w:rsid w:val="007B32BF"/>
    <w:rsid w:val="007B34BC"/>
    <w:rsid w:val="007B399A"/>
    <w:rsid w:val="007B3DCC"/>
    <w:rsid w:val="007B44FD"/>
    <w:rsid w:val="007B474D"/>
    <w:rsid w:val="007B52BF"/>
    <w:rsid w:val="007B6EE4"/>
    <w:rsid w:val="007B75B0"/>
    <w:rsid w:val="007B783F"/>
    <w:rsid w:val="007B7E03"/>
    <w:rsid w:val="007C0063"/>
    <w:rsid w:val="007C0526"/>
    <w:rsid w:val="007C06B7"/>
    <w:rsid w:val="007C1898"/>
    <w:rsid w:val="007C2887"/>
    <w:rsid w:val="007C48BD"/>
    <w:rsid w:val="007C4B00"/>
    <w:rsid w:val="007C51A5"/>
    <w:rsid w:val="007C5461"/>
    <w:rsid w:val="007C6366"/>
    <w:rsid w:val="007C6998"/>
    <w:rsid w:val="007C6E87"/>
    <w:rsid w:val="007C6F01"/>
    <w:rsid w:val="007C778F"/>
    <w:rsid w:val="007C7A05"/>
    <w:rsid w:val="007D0047"/>
    <w:rsid w:val="007D18F4"/>
    <w:rsid w:val="007D2E2D"/>
    <w:rsid w:val="007D38FB"/>
    <w:rsid w:val="007D3D15"/>
    <w:rsid w:val="007D4730"/>
    <w:rsid w:val="007D5288"/>
    <w:rsid w:val="007D546A"/>
    <w:rsid w:val="007D573E"/>
    <w:rsid w:val="007D59AE"/>
    <w:rsid w:val="007D6145"/>
    <w:rsid w:val="007D61F5"/>
    <w:rsid w:val="007D64D5"/>
    <w:rsid w:val="007D666F"/>
    <w:rsid w:val="007D7C82"/>
    <w:rsid w:val="007E22CF"/>
    <w:rsid w:val="007E4CCB"/>
    <w:rsid w:val="007E5062"/>
    <w:rsid w:val="007E5A07"/>
    <w:rsid w:val="007E6DB4"/>
    <w:rsid w:val="007F0117"/>
    <w:rsid w:val="007F0E4E"/>
    <w:rsid w:val="007F164B"/>
    <w:rsid w:val="007F1912"/>
    <w:rsid w:val="007F24D4"/>
    <w:rsid w:val="007F34C8"/>
    <w:rsid w:val="007F4368"/>
    <w:rsid w:val="007F4AEC"/>
    <w:rsid w:val="007F6A28"/>
    <w:rsid w:val="007F73C9"/>
    <w:rsid w:val="00800554"/>
    <w:rsid w:val="008016DE"/>
    <w:rsid w:val="00802574"/>
    <w:rsid w:val="0080285E"/>
    <w:rsid w:val="00802BAC"/>
    <w:rsid w:val="00802FBF"/>
    <w:rsid w:val="008043EF"/>
    <w:rsid w:val="00805CC0"/>
    <w:rsid w:val="0080677A"/>
    <w:rsid w:val="00807CB3"/>
    <w:rsid w:val="00810084"/>
    <w:rsid w:val="00812F1A"/>
    <w:rsid w:val="0081626C"/>
    <w:rsid w:val="00816EAE"/>
    <w:rsid w:val="00817C56"/>
    <w:rsid w:val="00817E9E"/>
    <w:rsid w:val="00820181"/>
    <w:rsid w:val="00821199"/>
    <w:rsid w:val="00821F32"/>
    <w:rsid w:val="00822528"/>
    <w:rsid w:val="00822D9A"/>
    <w:rsid w:val="008232C8"/>
    <w:rsid w:val="00826524"/>
    <w:rsid w:val="00827150"/>
    <w:rsid w:val="008271F6"/>
    <w:rsid w:val="00827D01"/>
    <w:rsid w:val="00831052"/>
    <w:rsid w:val="0083108E"/>
    <w:rsid w:val="00836727"/>
    <w:rsid w:val="00836791"/>
    <w:rsid w:val="008368FD"/>
    <w:rsid w:val="008408CC"/>
    <w:rsid w:val="00840990"/>
    <w:rsid w:val="0084104D"/>
    <w:rsid w:val="00841DC3"/>
    <w:rsid w:val="008429EE"/>
    <w:rsid w:val="00842A62"/>
    <w:rsid w:val="008431F2"/>
    <w:rsid w:val="00843541"/>
    <w:rsid w:val="00844245"/>
    <w:rsid w:val="00845894"/>
    <w:rsid w:val="00845A63"/>
    <w:rsid w:val="008523B1"/>
    <w:rsid w:val="008524F8"/>
    <w:rsid w:val="008532EA"/>
    <w:rsid w:val="00854031"/>
    <w:rsid w:val="0085431D"/>
    <w:rsid w:val="008545A1"/>
    <w:rsid w:val="00854BE1"/>
    <w:rsid w:val="00855DB7"/>
    <w:rsid w:val="008568F8"/>
    <w:rsid w:val="0086213D"/>
    <w:rsid w:val="00862606"/>
    <w:rsid w:val="00864339"/>
    <w:rsid w:val="00864449"/>
    <w:rsid w:val="008644A5"/>
    <w:rsid w:val="0086504E"/>
    <w:rsid w:val="00866A83"/>
    <w:rsid w:val="00866C0C"/>
    <w:rsid w:val="0087288B"/>
    <w:rsid w:val="00873585"/>
    <w:rsid w:val="0087580E"/>
    <w:rsid w:val="00877141"/>
    <w:rsid w:val="0088050A"/>
    <w:rsid w:val="00880744"/>
    <w:rsid w:val="00880BDC"/>
    <w:rsid w:val="00882097"/>
    <w:rsid w:val="00882719"/>
    <w:rsid w:val="008828CE"/>
    <w:rsid w:val="00882E45"/>
    <w:rsid w:val="008842F4"/>
    <w:rsid w:val="008860F1"/>
    <w:rsid w:val="00886BE6"/>
    <w:rsid w:val="00887A57"/>
    <w:rsid w:val="008922A9"/>
    <w:rsid w:val="008928A4"/>
    <w:rsid w:val="00894C5B"/>
    <w:rsid w:val="0089563F"/>
    <w:rsid w:val="00895857"/>
    <w:rsid w:val="00897795"/>
    <w:rsid w:val="00897796"/>
    <w:rsid w:val="00897E4A"/>
    <w:rsid w:val="00897EA1"/>
    <w:rsid w:val="008A0087"/>
    <w:rsid w:val="008A0983"/>
    <w:rsid w:val="008A2F40"/>
    <w:rsid w:val="008A30C0"/>
    <w:rsid w:val="008A40DA"/>
    <w:rsid w:val="008A4E75"/>
    <w:rsid w:val="008A53BC"/>
    <w:rsid w:val="008A558C"/>
    <w:rsid w:val="008B07BE"/>
    <w:rsid w:val="008B0E3E"/>
    <w:rsid w:val="008B0F16"/>
    <w:rsid w:val="008B11D0"/>
    <w:rsid w:val="008B3189"/>
    <w:rsid w:val="008B32E7"/>
    <w:rsid w:val="008B3322"/>
    <w:rsid w:val="008B448B"/>
    <w:rsid w:val="008B5253"/>
    <w:rsid w:val="008B628A"/>
    <w:rsid w:val="008B6549"/>
    <w:rsid w:val="008B68DF"/>
    <w:rsid w:val="008B79AE"/>
    <w:rsid w:val="008C13B2"/>
    <w:rsid w:val="008C17DF"/>
    <w:rsid w:val="008C1E96"/>
    <w:rsid w:val="008C44D7"/>
    <w:rsid w:val="008C45AE"/>
    <w:rsid w:val="008C4679"/>
    <w:rsid w:val="008C5A8A"/>
    <w:rsid w:val="008C5B12"/>
    <w:rsid w:val="008C6042"/>
    <w:rsid w:val="008C6929"/>
    <w:rsid w:val="008C7B3A"/>
    <w:rsid w:val="008D00C8"/>
    <w:rsid w:val="008D1251"/>
    <w:rsid w:val="008D1320"/>
    <w:rsid w:val="008D1F00"/>
    <w:rsid w:val="008D2126"/>
    <w:rsid w:val="008D41EB"/>
    <w:rsid w:val="008D4E9B"/>
    <w:rsid w:val="008D533B"/>
    <w:rsid w:val="008D622B"/>
    <w:rsid w:val="008D6D4F"/>
    <w:rsid w:val="008D702D"/>
    <w:rsid w:val="008D732C"/>
    <w:rsid w:val="008E154E"/>
    <w:rsid w:val="008E170A"/>
    <w:rsid w:val="008E18B8"/>
    <w:rsid w:val="008E492F"/>
    <w:rsid w:val="008E524C"/>
    <w:rsid w:val="008E57A6"/>
    <w:rsid w:val="008E7F65"/>
    <w:rsid w:val="008F0FCE"/>
    <w:rsid w:val="008F10FC"/>
    <w:rsid w:val="008F1901"/>
    <w:rsid w:val="008F2396"/>
    <w:rsid w:val="008F2F9C"/>
    <w:rsid w:val="008F33CE"/>
    <w:rsid w:val="008F38DF"/>
    <w:rsid w:val="008F4143"/>
    <w:rsid w:val="008F4484"/>
    <w:rsid w:val="008F448B"/>
    <w:rsid w:val="008F5D01"/>
    <w:rsid w:val="008F6030"/>
    <w:rsid w:val="008F755E"/>
    <w:rsid w:val="008F7CA5"/>
    <w:rsid w:val="0090015E"/>
    <w:rsid w:val="009019E9"/>
    <w:rsid w:val="00901CD0"/>
    <w:rsid w:val="009034D9"/>
    <w:rsid w:val="00903D6A"/>
    <w:rsid w:val="009050B4"/>
    <w:rsid w:val="009056BA"/>
    <w:rsid w:val="00905959"/>
    <w:rsid w:val="0090646B"/>
    <w:rsid w:val="00907B00"/>
    <w:rsid w:val="00907D71"/>
    <w:rsid w:val="0091125C"/>
    <w:rsid w:val="009126BF"/>
    <w:rsid w:val="00913C40"/>
    <w:rsid w:val="0091432D"/>
    <w:rsid w:val="0091467E"/>
    <w:rsid w:val="00914687"/>
    <w:rsid w:val="009146C2"/>
    <w:rsid w:val="0091493A"/>
    <w:rsid w:val="0091533A"/>
    <w:rsid w:val="00915CDE"/>
    <w:rsid w:val="00916028"/>
    <w:rsid w:val="009161FD"/>
    <w:rsid w:val="00916D55"/>
    <w:rsid w:val="009218CE"/>
    <w:rsid w:val="009223F4"/>
    <w:rsid w:val="00923137"/>
    <w:rsid w:val="00923732"/>
    <w:rsid w:val="00924CFA"/>
    <w:rsid w:val="009255DB"/>
    <w:rsid w:val="009311B2"/>
    <w:rsid w:val="00931913"/>
    <w:rsid w:val="00932326"/>
    <w:rsid w:val="00934E14"/>
    <w:rsid w:val="0093588B"/>
    <w:rsid w:val="00936D7D"/>
    <w:rsid w:val="00936DE3"/>
    <w:rsid w:val="009409E1"/>
    <w:rsid w:val="009415E6"/>
    <w:rsid w:val="00942685"/>
    <w:rsid w:val="00943228"/>
    <w:rsid w:val="00943B83"/>
    <w:rsid w:val="00943E49"/>
    <w:rsid w:val="00944B25"/>
    <w:rsid w:val="00944B8C"/>
    <w:rsid w:val="009462E3"/>
    <w:rsid w:val="0094769D"/>
    <w:rsid w:val="00947BDF"/>
    <w:rsid w:val="00947F48"/>
    <w:rsid w:val="00950878"/>
    <w:rsid w:val="0095138D"/>
    <w:rsid w:val="00951416"/>
    <w:rsid w:val="00951A43"/>
    <w:rsid w:val="00951DB7"/>
    <w:rsid w:val="00954D78"/>
    <w:rsid w:val="0095549E"/>
    <w:rsid w:val="00955BBC"/>
    <w:rsid w:val="00956DDC"/>
    <w:rsid w:val="009573DE"/>
    <w:rsid w:val="009576A6"/>
    <w:rsid w:val="00957715"/>
    <w:rsid w:val="00961DA7"/>
    <w:rsid w:val="009625E5"/>
    <w:rsid w:val="00962829"/>
    <w:rsid w:val="009641A0"/>
    <w:rsid w:val="0096450D"/>
    <w:rsid w:val="00964C98"/>
    <w:rsid w:val="00967052"/>
    <w:rsid w:val="009720A9"/>
    <w:rsid w:val="00972BE4"/>
    <w:rsid w:val="0097344C"/>
    <w:rsid w:val="00974126"/>
    <w:rsid w:val="00974F9B"/>
    <w:rsid w:val="00976640"/>
    <w:rsid w:val="009770B2"/>
    <w:rsid w:val="00977566"/>
    <w:rsid w:val="00980341"/>
    <w:rsid w:val="00980629"/>
    <w:rsid w:val="009814EC"/>
    <w:rsid w:val="00982BEC"/>
    <w:rsid w:val="00982D46"/>
    <w:rsid w:val="00983DE5"/>
    <w:rsid w:val="00986FA1"/>
    <w:rsid w:val="0098705D"/>
    <w:rsid w:val="009875D0"/>
    <w:rsid w:val="00987E5C"/>
    <w:rsid w:val="00990E98"/>
    <w:rsid w:val="00991F31"/>
    <w:rsid w:val="0099307A"/>
    <w:rsid w:val="00994701"/>
    <w:rsid w:val="00995E92"/>
    <w:rsid w:val="00997E06"/>
    <w:rsid w:val="00997FB1"/>
    <w:rsid w:val="009A2D5E"/>
    <w:rsid w:val="009A31CC"/>
    <w:rsid w:val="009A38EE"/>
    <w:rsid w:val="009A3BBC"/>
    <w:rsid w:val="009A4644"/>
    <w:rsid w:val="009A4848"/>
    <w:rsid w:val="009A6398"/>
    <w:rsid w:val="009A70B1"/>
    <w:rsid w:val="009B194B"/>
    <w:rsid w:val="009B37AC"/>
    <w:rsid w:val="009B39A9"/>
    <w:rsid w:val="009B3DDE"/>
    <w:rsid w:val="009B655A"/>
    <w:rsid w:val="009C0015"/>
    <w:rsid w:val="009C09AC"/>
    <w:rsid w:val="009C1434"/>
    <w:rsid w:val="009C1859"/>
    <w:rsid w:val="009C1DC2"/>
    <w:rsid w:val="009C1DC4"/>
    <w:rsid w:val="009C2FD0"/>
    <w:rsid w:val="009C30DA"/>
    <w:rsid w:val="009C31AB"/>
    <w:rsid w:val="009C52E0"/>
    <w:rsid w:val="009C53BF"/>
    <w:rsid w:val="009C58CC"/>
    <w:rsid w:val="009C643E"/>
    <w:rsid w:val="009C692D"/>
    <w:rsid w:val="009C6E73"/>
    <w:rsid w:val="009C7BCA"/>
    <w:rsid w:val="009C7D8A"/>
    <w:rsid w:val="009D0513"/>
    <w:rsid w:val="009D0D34"/>
    <w:rsid w:val="009D112A"/>
    <w:rsid w:val="009D29C2"/>
    <w:rsid w:val="009D38B3"/>
    <w:rsid w:val="009D3C3E"/>
    <w:rsid w:val="009D4563"/>
    <w:rsid w:val="009D6021"/>
    <w:rsid w:val="009D66AE"/>
    <w:rsid w:val="009D7215"/>
    <w:rsid w:val="009D7AB6"/>
    <w:rsid w:val="009D7F19"/>
    <w:rsid w:val="009E00D5"/>
    <w:rsid w:val="009E325E"/>
    <w:rsid w:val="009E32CA"/>
    <w:rsid w:val="009E3442"/>
    <w:rsid w:val="009E362F"/>
    <w:rsid w:val="009E385B"/>
    <w:rsid w:val="009E4A50"/>
    <w:rsid w:val="009E5228"/>
    <w:rsid w:val="009E76BB"/>
    <w:rsid w:val="009E7B05"/>
    <w:rsid w:val="009F0049"/>
    <w:rsid w:val="009F09BC"/>
    <w:rsid w:val="009F1CF1"/>
    <w:rsid w:val="009F1E75"/>
    <w:rsid w:val="009F21FE"/>
    <w:rsid w:val="009F2F37"/>
    <w:rsid w:val="009F2F68"/>
    <w:rsid w:val="009F34E6"/>
    <w:rsid w:val="009F355A"/>
    <w:rsid w:val="009F3FEB"/>
    <w:rsid w:val="009F423F"/>
    <w:rsid w:val="009F48B6"/>
    <w:rsid w:val="009F4F90"/>
    <w:rsid w:val="00A00241"/>
    <w:rsid w:val="00A016DE"/>
    <w:rsid w:val="00A028E0"/>
    <w:rsid w:val="00A033E0"/>
    <w:rsid w:val="00A039DD"/>
    <w:rsid w:val="00A05271"/>
    <w:rsid w:val="00A05C5A"/>
    <w:rsid w:val="00A06167"/>
    <w:rsid w:val="00A0691B"/>
    <w:rsid w:val="00A06ACC"/>
    <w:rsid w:val="00A0791B"/>
    <w:rsid w:val="00A0795B"/>
    <w:rsid w:val="00A07A51"/>
    <w:rsid w:val="00A07E36"/>
    <w:rsid w:val="00A11346"/>
    <w:rsid w:val="00A11983"/>
    <w:rsid w:val="00A11A8E"/>
    <w:rsid w:val="00A135A8"/>
    <w:rsid w:val="00A136B1"/>
    <w:rsid w:val="00A13B1B"/>
    <w:rsid w:val="00A13D2B"/>
    <w:rsid w:val="00A13D4C"/>
    <w:rsid w:val="00A13EA9"/>
    <w:rsid w:val="00A14805"/>
    <w:rsid w:val="00A1493D"/>
    <w:rsid w:val="00A15074"/>
    <w:rsid w:val="00A15210"/>
    <w:rsid w:val="00A17043"/>
    <w:rsid w:val="00A17390"/>
    <w:rsid w:val="00A20C63"/>
    <w:rsid w:val="00A21C6F"/>
    <w:rsid w:val="00A22045"/>
    <w:rsid w:val="00A22733"/>
    <w:rsid w:val="00A23006"/>
    <w:rsid w:val="00A23B44"/>
    <w:rsid w:val="00A244EA"/>
    <w:rsid w:val="00A24CC4"/>
    <w:rsid w:val="00A25C1E"/>
    <w:rsid w:val="00A26B0D"/>
    <w:rsid w:val="00A2731E"/>
    <w:rsid w:val="00A302FF"/>
    <w:rsid w:val="00A31866"/>
    <w:rsid w:val="00A33998"/>
    <w:rsid w:val="00A340D4"/>
    <w:rsid w:val="00A357C8"/>
    <w:rsid w:val="00A376AE"/>
    <w:rsid w:val="00A37880"/>
    <w:rsid w:val="00A4044F"/>
    <w:rsid w:val="00A40481"/>
    <w:rsid w:val="00A40E5D"/>
    <w:rsid w:val="00A41198"/>
    <w:rsid w:val="00A4310F"/>
    <w:rsid w:val="00A4335C"/>
    <w:rsid w:val="00A456B2"/>
    <w:rsid w:val="00A468F6"/>
    <w:rsid w:val="00A4733E"/>
    <w:rsid w:val="00A505BC"/>
    <w:rsid w:val="00A51EFE"/>
    <w:rsid w:val="00A532D3"/>
    <w:rsid w:val="00A54C1A"/>
    <w:rsid w:val="00A5562E"/>
    <w:rsid w:val="00A559E3"/>
    <w:rsid w:val="00A56A28"/>
    <w:rsid w:val="00A56DB9"/>
    <w:rsid w:val="00A56DEB"/>
    <w:rsid w:val="00A60CAB"/>
    <w:rsid w:val="00A60EB9"/>
    <w:rsid w:val="00A62D3C"/>
    <w:rsid w:val="00A62ED6"/>
    <w:rsid w:val="00A63282"/>
    <w:rsid w:val="00A63EC5"/>
    <w:rsid w:val="00A64AFD"/>
    <w:rsid w:val="00A66766"/>
    <w:rsid w:val="00A67423"/>
    <w:rsid w:val="00A67EFE"/>
    <w:rsid w:val="00A702D9"/>
    <w:rsid w:val="00A740C0"/>
    <w:rsid w:val="00A74955"/>
    <w:rsid w:val="00A7525F"/>
    <w:rsid w:val="00A76492"/>
    <w:rsid w:val="00A770D0"/>
    <w:rsid w:val="00A776C3"/>
    <w:rsid w:val="00A77E70"/>
    <w:rsid w:val="00A81C8B"/>
    <w:rsid w:val="00A83677"/>
    <w:rsid w:val="00A8387E"/>
    <w:rsid w:val="00A843A0"/>
    <w:rsid w:val="00A84A80"/>
    <w:rsid w:val="00A86AF2"/>
    <w:rsid w:val="00A86CA2"/>
    <w:rsid w:val="00A87059"/>
    <w:rsid w:val="00A87D23"/>
    <w:rsid w:val="00A90410"/>
    <w:rsid w:val="00A918F8"/>
    <w:rsid w:val="00A91E64"/>
    <w:rsid w:val="00A9204A"/>
    <w:rsid w:val="00A9345C"/>
    <w:rsid w:val="00A937A9"/>
    <w:rsid w:val="00A94205"/>
    <w:rsid w:val="00A952C3"/>
    <w:rsid w:val="00A95819"/>
    <w:rsid w:val="00A96760"/>
    <w:rsid w:val="00A972FE"/>
    <w:rsid w:val="00A97A70"/>
    <w:rsid w:val="00AA03AF"/>
    <w:rsid w:val="00AA1283"/>
    <w:rsid w:val="00AA1BE1"/>
    <w:rsid w:val="00AA237C"/>
    <w:rsid w:val="00AA2D1F"/>
    <w:rsid w:val="00AA37AC"/>
    <w:rsid w:val="00AA3FD1"/>
    <w:rsid w:val="00AA434E"/>
    <w:rsid w:val="00AA5372"/>
    <w:rsid w:val="00AA6AB3"/>
    <w:rsid w:val="00AA7391"/>
    <w:rsid w:val="00AA7D35"/>
    <w:rsid w:val="00AB00B9"/>
    <w:rsid w:val="00AB256C"/>
    <w:rsid w:val="00AB32B2"/>
    <w:rsid w:val="00AB3BEC"/>
    <w:rsid w:val="00AB3F89"/>
    <w:rsid w:val="00AB5491"/>
    <w:rsid w:val="00AB76BD"/>
    <w:rsid w:val="00AC014D"/>
    <w:rsid w:val="00AC2216"/>
    <w:rsid w:val="00AC250D"/>
    <w:rsid w:val="00AC39E3"/>
    <w:rsid w:val="00AC41CE"/>
    <w:rsid w:val="00AC5AB8"/>
    <w:rsid w:val="00AD0132"/>
    <w:rsid w:val="00AD23EB"/>
    <w:rsid w:val="00AD4677"/>
    <w:rsid w:val="00AD487C"/>
    <w:rsid w:val="00AD5043"/>
    <w:rsid w:val="00AD536E"/>
    <w:rsid w:val="00AD5EB4"/>
    <w:rsid w:val="00AD7BA8"/>
    <w:rsid w:val="00AE019F"/>
    <w:rsid w:val="00AE176B"/>
    <w:rsid w:val="00AE26AF"/>
    <w:rsid w:val="00AE33C3"/>
    <w:rsid w:val="00AE3498"/>
    <w:rsid w:val="00AE38C9"/>
    <w:rsid w:val="00AE5087"/>
    <w:rsid w:val="00AE6370"/>
    <w:rsid w:val="00AE7621"/>
    <w:rsid w:val="00AE7F30"/>
    <w:rsid w:val="00AF043D"/>
    <w:rsid w:val="00AF1B34"/>
    <w:rsid w:val="00AF2709"/>
    <w:rsid w:val="00AF2B77"/>
    <w:rsid w:val="00AF33A1"/>
    <w:rsid w:val="00AF3B39"/>
    <w:rsid w:val="00AF3E27"/>
    <w:rsid w:val="00AF4915"/>
    <w:rsid w:val="00AF5DB0"/>
    <w:rsid w:val="00AF6AC9"/>
    <w:rsid w:val="00AF714C"/>
    <w:rsid w:val="00AF7536"/>
    <w:rsid w:val="00AF78AD"/>
    <w:rsid w:val="00B001B5"/>
    <w:rsid w:val="00B038D1"/>
    <w:rsid w:val="00B0429B"/>
    <w:rsid w:val="00B04B20"/>
    <w:rsid w:val="00B05B58"/>
    <w:rsid w:val="00B10ADD"/>
    <w:rsid w:val="00B10AEB"/>
    <w:rsid w:val="00B114FC"/>
    <w:rsid w:val="00B11E63"/>
    <w:rsid w:val="00B12275"/>
    <w:rsid w:val="00B136D2"/>
    <w:rsid w:val="00B143C7"/>
    <w:rsid w:val="00B15BE3"/>
    <w:rsid w:val="00B16332"/>
    <w:rsid w:val="00B16409"/>
    <w:rsid w:val="00B17717"/>
    <w:rsid w:val="00B17761"/>
    <w:rsid w:val="00B208DD"/>
    <w:rsid w:val="00B2099A"/>
    <w:rsid w:val="00B214A1"/>
    <w:rsid w:val="00B231EC"/>
    <w:rsid w:val="00B233FD"/>
    <w:rsid w:val="00B23D3C"/>
    <w:rsid w:val="00B242DF"/>
    <w:rsid w:val="00B24DF3"/>
    <w:rsid w:val="00B2509B"/>
    <w:rsid w:val="00B2536E"/>
    <w:rsid w:val="00B26030"/>
    <w:rsid w:val="00B26150"/>
    <w:rsid w:val="00B26E75"/>
    <w:rsid w:val="00B27391"/>
    <w:rsid w:val="00B27E81"/>
    <w:rsid w:val="00B30BED"/>
    <w:rsid w:val="00B321CD"/>
    <w:rsid w:val="00B34ABB"/>
    <w:rsid w:val="00B35E19"/>
    <w:rsid w:val="00B36262"/>
    <w:rsid w:val="00B3627B"/>
    <w:rsid w:val="00B37647"/>
    <w:rsid w:val="00B40505"/>
    <w:rsid w:val="00B41BE8"/>
    <w:rsid w:val="00B4224B"/>
    <w:rsid w:val="00B4376F"/>
    <w:rsid w:val="00B4633E"/>
    <w:rsid w:val="00B46774"/>
    <w:rsid w:val="00B4719E"/>
    <w:rsid w:val="00B4797E"/>
    <w:rsid w:val="00B47FE0"/>
    <w:rsid w:val="00B50766"/>
    <w:rsid w:val="00B50971"/>
    <w:rsid w:val="00B517F8"/>
    <w:rsid w:val="00B52283"/>
    <w:rsid w:val="00B52EA1"/>
    <w:rsid w:val="00B5464D"/>
    <w:rsid w:val="00B546F0"/>
    <w:rsid w:val="00B54AE6"/>
    <w:rsid w:val="00B55D8D"/>
    <w:rsid w:val="00B5734D"/>
    <w:rsid w:val="00B57DE3"/>
    <w:rsid w:val="00B6052C"/>
    <w:rsid w:val="00B6153C"/>
    <w:rsid w:val="00B627B9"/>
    <w:rsid w:val="00B648F1"/>
    <w:rsid w:val="00B65587"/>
    <w:rsid w:val="00B658F1"/>
    <w:rsid w:val="00B65C13"/>
    <w:rsid w:val="00B66D79"/>
    <w:rsid w:val="00B66E72"/>
    <w:rsid w:val="00B67060"/>
    <w:rsid w:val="00B67844"/>
    <w:rsid w:val="00B678A5"/>
    <w:rsid w:val="00B6794A"/>
    <w:rsid w:val="00B67B28"/>
    <w:rsid w:val="00B67DBB"/>
    <w:rsid w:val="00B70290"/>
    <w:rsid w:val="00B71691"/>
    <w:rsid w:val="00B73C2D"/>
    <w:rsid w:val="00B742F9"/>
    <w:rsid w:val="00B74362"/>
    <w:rsid w:val="00B74E64"/>
    <w:rsid w:val="00B7514B"/>
    <w:rsid w:val="00B75CBF"/>
    <w:rsid w:val="00B75D88"/>
    <w:rsid w:val="00B767FF"/>
    <w:rsid w:val="00B7702D"/>
    <w:rsid w:val="00B77061"/>
    <w:rsid w:val="00B80B5E"/>
    <w:rsid w:val="00B82333"/>
    <w:rsid w:val="00B83A16"/>
    <w:rsid w:val="00B8502B"/>
    <w:rsid w:val="00B853A8"/>
    <w:rsid w:val="00B855CB"/>
    <w:rsid w:val="00B86D06"/>
    <w:rsid w:val="00B86E52"/>
    <w:rsid w:val="00B906CA"/>
    <w:rsid w:val="00B91088"/>
    <w:rsid w:val="00B92F67"/>
    <w:rsid w:val="00B93920"/>
    <w:rsid w:val="00B95460"/>
    <w:rsid w:val="00B968C1"/>
    <w:rsid w:val="00B9719D"/>
    <w:rsid w:val="00B97E39"/>
    <w:rsid w:val="00BA29EF"/>
    <w:rsid w:val="00BA309B"/>
    <w:rsid w:val="00BA4A04"/>
    <w:rsid w:val="00BA4C6E"/>
    <w:rsid w:val="00BA4EE4"/>
    <w:rsid w:val="00BA566F"/>
    <w:rsid w:val="00BA6833"/>
    <w:rsid w:val="00BB1197"/>
    <w:rsid w:val="00BB121B"/>
    <w:rsid w:val="00BB2B78"/>
    <w:rsid w:val="00BB3246"/>
    <w:rsid w:val="00BB3AF1"/>
    <w:rsid w:val="00BB543A"/>
    <w:rsid w:val="00BB5479"/>
    <w:rsid w:val="00BB554C"/>
    <w:rsid w:val="00BB5BC3"/>
    <w:rsid w:val="00BB60B5"/>
    <w:rsid w:val="00BB64B7"/>
    <w:rsid w:val="00BB65F9"/>
    <w:rsid w:val="00BB7A30"/>
    <w:rsid w:val="00BC03D4"/>
    <w:rsid w:val="00BC2A70"/>
    <w:rsid w:val="00BC2ADE"/>
    <w:rsid w:val="00BC2E6C"/>
    <w:rsid w:val="00BC3FF8"/>
    <w:rsid w:val="00BC4BFE"/>
    <w:rsid w:val="00BC53C8"/>
    <w:rsid w:val="00BC5E12"/>
    <w:rsid w:val="00BC5F46"/>
    <w:rsid w:val="00BC6956"/>
    <w:rsid w:val="00BC6B84"/>
    <w:rsid w:val="00BC6EDB"/>
    <w:rsid w:val="00BC7850"/>
    <w:rsid w:val="00BC79FD"/>
    <w:rsid w:val="00BD063A"/>
    <w:rsid w:val="00BD0C48"/>
    <w:rsid w:val="00BD2352"/>
    <w:rsid w:val="00BD355A"/>
    <w:rsid w:val="00BD4374"/>
    <w:rsid w:val="00BD46E8"/>
    <w:rsid w:val="00BD4DCE"/>
    <w:rsid w:val="00BD4E09"/>
    <w:rsid w:val="00BD5A76"/>
    <w:rsid w:val="00BD6C1E"/>
    <w:rsid w:val="00BD7236"/>
    <w:rsid w:val="00BD7C0B"/>
    <w:rsid w:val="00BE04C2"/>
    <w:rsid w:val="00BE1805"/>
    <w:rsid w:val="00BE227E"/>
    <w:rsid w:val="00BE375F"/>
    <w:rsid w:val="00BE4C24"/>
    <w:rsid w:val="00BE5F3B"/>
    <w:rsid w:val="00BE62DB"/>
    <w:rsid w:val="00BE6A87"/>
    <w:rsid w:val="00BF09B1"/>
    <w:rsid w:val="00BF419C"/>
    <w:rsid w:val="00BF473E"/>
    <w:rsid w:val="00BF4CD2"/>
    <w:rsid w:val="00BF5178"/>
    <w:rsid w:val="00BF5982"/>
    <w:rsid w:val="00BF5A2A"/>
    <w:rsid w:val="00BF7989"/>
    <w:rsid w:val="00BF7D4B"/>
    <w:rsid w:val="00C00214"/>
    <w:rsid w:val="00C01209"/>
    <w:rsid w:val="00C01338"/>
    <w:rsid w:val="00C01E17"/>
    <w:rsid w:val="00C031FD"/>
    <w:rsid w:val="00C0466D"/>
    <w:rsid w:val="00C05B03"/>
    <w:rsid w:val="00C07610"/>
    <w:rsid w:val="00C077CE"/>
    <w:rsid w:val="00C07822"/>
    <w:rsid w:val="00C07866"/>
    <w:rsid w:val="00C10423"/>
    <w:rsid w:val="00C10901"/>
    <w:rsid w:val="00C12637"/>
    <w:rsid w:val="00C126C3"/>
    <w:rsid w:val="00C1317A"/>
    <w:rsid w:val="00C141DC"/>
    <w:rsid w:val="00C142D2"/>
    <w:rsid w:val="00C159A7"/>
    <w:rsid w:val="00C15FE9"/>
    <w:rsid w:val="00C162A2"/>
    <w:rsid w:val="00C17388"/>
    <w:rsid w:val="00C1773C"/>
    <w:rsid w:val="00C17F2E"/>
    <w:rsid w:val="00C20F88"/>
    <w:rsid w:val="00C213A2"/>
    <w:rsid w:val="00C214D3"/>
    <w:rsid w:val="00C2311E"/>
    <w:rsid w:val="00C243F6"/>
    <w:rsid w:val="00C24703"/>
    <w:rsid w:val="00C24B79"/>
    <w:rsid w:val="00C2514D"/>
    <w:rsid w:val="00C25387"/>
    <w:rsid w:val="00C26B9F"/>
    <w:rsid w:val="00C27C64"/>
    <w:rsid w:val="00C314F3"/>
    <w:rsid w:val="00C31EB7"/>
    <w:rsid w:val="00C32015"/>
    <w:rsid w:val="00C3218F"/>
    <w:rsid w:val="00C357E1"/>
    <w:rsid w:val="00C35C4D"/>
    <w:rsid w:val="00C35D4A"/>
    <w:rsid w:val="00C35D7C"/>
    <w:rsid w:val="00C364DC"/>
    <w:rsid w:val="00C36542"/>
    <w:rsid w:val="00C37437"/>
    <w:rsid w:val="00C37FBA"/>
    <w:rsid w:val="00C40E3A"/>
    <w:rsid w:val="00C410AF"/>
    <w:rsid w:val="00C422B3"/>
    <w:rsid w:val="00C42A90"/>
    <w:rsid w:val="00C4413D"/>
    <w:rsid w:val="00C4422D"/>
    <w:rsid w:val="00C44610"/>
    <w:rsid w:val="00C447D7"/>
    <w:rsid w:val="00C44EA6"/>
    <w:rsid w:val="00C50A0A"/>
    <w:rsid w:val="00C50D87"/>
    <w:rsid w:val="00C50F14"/>
    <w:rsid w:val="00C5142B"/>
    <w:rsid w:val="00C51A2F"/>
    <w:rsid w:val="00C52B75"/>
    <w:rsid w:val="00C5362C"/>
    <w:rsid w:val="00C53E38"/>
    <w:rsid w:val="00C5487C"/>
    <w:rsid w:val="00C54BBD"/>
    <w:rsid w:val="00C54C77"/>
    <w:rsid w:val="00C579AE"/>
    <w:rsid w:val="00C57B73"/>
    <w:rsid w:val="00C57CF1"/>
    <w:rsid w:val="00C60A5D"/>
    <w:rsid w:val="00C60BDC"/>
    <w:rsid w:val="00C61AAC"/>
    <w:rsid w:val="00C61C8E"/>
    <w:rsid w:val="00C61CA1"/>
    <w:rsid w:val="00C66BD7"/>
    <w:rsid w:val="00C66CC1"/>
    <w:rsid w:val="00C7008F"/>
    <w:rsid w:val="00C70979"/>
    <w:rsid w:val="00C70F7A"/>
    <w:rsid w:val="00C71D71"/>
    <w:rsid w:val="00C73342"/>
    <w:rsid w:val="00C74599"/>
    <w:rsid w:val="00C746D9"/>
    <w:rsid w:val="00C74723"/>
    <w:rsid w:val="00C75060"/>
    <w:rsid w:val="00C753B8"/>
    <w:rsid w:val="00C760C8"/>
    <w:rsid w:val="00C7672D"/>
    <w:rsid w:val="00C81F12"/>
    <w:rsid w:val="00C8230D"/>
    <w:rsid w:val="00C82CB0"/>
    <w:rsid w:val="00C83C3A"/>
    <w:rsid w:val="00C84286"/>
    <w:rsid w:val="00C84DE8"/>
    <w:rsid w:val="00C85641"/>
    <w:rsid w:val="00C85ABF"/>
    <w:rsid w:val="00C861E2"/>
    <w:rsid w:val="00C86C90"/>
    <w:rsid w:val="00C87DE7"/>
    <w:rsid w:val="00C9251B"/>
    <w:rsid w:val="00C931C6"/>
    <w:rsid w:val="00C94608"/>
    <w:rsid w:val="00C95D1F"/>
    <w:rsid w:val="00C96901"/>
    <w:rsid w:val="00C97792"/>
    <w:rsid w:val="00CA0E78"/>
    <w:rsid w:val="00CA5D33"/>
    <w:rsid w:val="00CA67A3"/>
    <w:rsid w:val="00CA6F66"/>
    <w:rsid w:val="00CA7AEC"/>
    <w:rsid w:val="00CA7B85"/>
    <w:rsid w:val="00CB06E2"/>
    <w:rsid w:val="00CB0AE4"/>
    <w:rsid w:val="00CB13B7"/>
    <w:rsid w:val="00CB55B0"/>
    <w:rsid w:val="00CB6197"/>
    <w:rsid w:val="00CB6585"/>
    <w:rsid w:val="00CB7662"/>
    <w:rsid w:val="00CC0109"/>
    <w:rsid w:val="00CC02D6"/>
    <w:rsid w:val="00CC0371"/>
    <w:rsid w:val="00CC3319"/>
    <w:rsid w:val="00CC5169"/>
    <w:rsid w:val="00CC6E72"/>
    <w:rsid w:val="00CD1282"/>
    <w:rsid w:val="00CD44D6"/>
    <w:rsid w:val="00CD52EF"/>
    <w:rsid w:val="00CD57EB"/>
    <w:rsid w:val="00CD5A89"/>
    <w:rsid w:val="00CD5B70"/>
    <w:rsid w:val="00CD5CEE"/>
    <w:rsid w:val="00CD64C5"/>
    <w:rsid w:val="00CD7251"/>
    <w:rsid w:val="00CE0F02"/>
    <w:rsid w:val="00CE1AD9"/>
    <w:rsid w:val="00CE1C2E"/>
    <w:rsid w:val="00CE2CE1"/>
    <w:rsid w:val="00CE489C"/>
    <w:rsid w:val="00CE52BC"/>
    <w:rsid w:val="00CE6C92"/>
    <w:rsid w:val="00CE6FDE"/>
    <w:rsid w:val="00CE76E8"/>
    <w:rsid w:val="00CE7CF0"/>
    <w:rsid w:val="00CF2578"/>
    <w:rsid w:val="00CF25BA"/>
    <w:rsid w:val="00CF2AED"/>
    <w:rsid w:val="00CF406C"/>
    <w:rsid w:val="00CF48CB"/>
    <w:rsid w:val="00CF4AB8"/>
    <w:rsid w:val="00CF6923"/>
    <w:rsid w:val="00D006E5"/>
    <w:rsid w:val="00D029E6"/>
    <w:rsid w:val="00D02F22"/>
    <w:rsid w:val="00D03F73"/>
    <w:rsid w:val="00D048C8"/>
    <w:rsid w:val="00D04C74"/>
    <w:rsid w:val="00D05177"/>
    <w:rsid w:val="00D059D1"/>
    <w:rsid w:val="00D06BFA"/>
    <w:rsid w:val="00D07183"/>
    <w:rsid w:val="00D077BD"/>
    <w:rsid w:val="00D12E6E"/>
    <w:rsid w:val="00D12F7F"/>
    <w:rsid w:val="00D13223"/>
    <w:rsid w:val="00D14C95"/>
    <w:rsid w:val="00D14D83"/>
    <w:rsid w:val="00D157E1"/>
    <w:rsid w:val="00D159F1"/>
    <w:rsid w:val="00D15C18"/>
    <w:rsid w:val="00D17B54"/>
    <w:rsid w:val="00D20FE9"/>
    <w:rsid w:val="00D21638"/>
    <w:rsid w:val="00D223E1"/>
    <w:rsid w:val="00D253F5"/>
    <w:rsid w:val="00D26A85"/>
    <w:rsid w:val="00D26F71"/>
    <w:rsid w:val="00D306DD"/>
    <w:rsid w:val="00D31B30"/>
    <w:rsid w:val="00D31E71"/>
    <w:rsid w:val="00D32336"/>
    <w:rsid w:val="00D32472"/>
    <w:rsid w:val="00D327C1"/>
    <w:rsid w:val="00D33EDF"/>
    <w:rsid w:val="00D34094"/>
    <w:rsid w:val="00D34347"/>
    <w:rsid w:val="00D349AD"/>
    <w:rsid w:val="00D3637A"/>
    <w:rsid w:val="00D36A29"/>
    <w:rsid w:val="00D37406"/>
    <w:rsid w:val="00D37773"/>
    <w:rsid w:val="00D37D1D"/>
    <w:rsid w:val="00D40009"/>
    <w:rsid w:val="00D41B74"/>
    <w:rsid w:val="00D4266B"/>
    <w:rsid w:val="00D42828"/>
    <w:rsid w:val="00D42A66"/>
    <w:rsid w:val="00D42B86"/>
    <w:rsid w:val="00D431AD"/>
    <w:rsid w:val="00D44049"/>
    <w:rsid w:val="00D46226"/>
    <w:rsid w:val="00D46DED"/>
    <w:rsid w:val="00D5063F"/>
    <w:rsid w:val="00D51919"/>
    <w:rsid w:val="00D51966"/>
    <w:rsid w:val="00D53D0C"/>
    <w:rsid w:val="00D54D2E"/>
    <w:rsid w:val="00D572C0"/>
    <w:rsid w:val="00D57FFE"/>
    <w:rsid w:val="00D6142E"/>
    <w:rsid w:val="00D61B14"/>
    <w:rsid w:val="00D62FBE"/>
    <w:rsid w:val="00D63029"/>
    <w:rsid w:val="00D6319B"/>
    <w:rsid w:val="00D63797"/>
    <w:rsid w:val="00D63EE3"/>
    <w:rsid w:val="00D65329"/>
    <w:rsid w:val="00D6633C"/>
    <w:rsid w:val="00D66A12"/>
    <w:rsid w:val="00D67CF1"/>
    <w:rsid w:val="00D70852"/>
    <w:rsid w:val="00D72BBA"/>
    <w:rsid w:val="00D72C5E"/>
    <w:rsid w:val="00D7407C"/>
    <w:rsid w:val="00D743C8"/>
    <w:rsid w:val="00D74896"/>
    <w:rsid w:val="00D774F1"/>
    <w:rsid w:val="00D8003C"/>
    <w:rsid w:val="00D800E9"/>
    <w:rsid w:val="00D80DEB"/>
    <w:rsid w:val="00D842FD"/>
    <w:rsid w:val="00D8432F"/>
    <w:rsid w:val="00D848A8"/>
    <w:rsid w:val="00D85266"/>
    <w:rsid w:val="00D857F5"/>
    <w:rsid w:val="00D85F46"/>
    <w:rsid w:val="00D867BA"/>
    <w:rsid w:val="00D870B3"/>
    <w:rsid w:val="00D87607"/>
    <w:rsid w:val="00D90F00"/>
    <w:rsid w:val="00D9185C"/>
    <w:rsid w:val="00D971C2"/>
    <w:rsid w:val="00D97866"/>
    <w:rsid w:val="00DA017E"/>
    <w:rsid w:val="00DA2A0C"/>
    <w:rsid w:val="00DA3E8C"/>
    <w:rsid w:val="00DA4932"/>
    <w:rsid w:val="00DA4E7E"/>
    <w:rsid w:val="00DA52BD"/>
    <w:rsid w:val="00DA5C35"/>
    <w:rsid w:val="00DA5F57"/>
    <w:rsid w:val="00DA6582"/>
    <w:rsid w:val="00DB0E89"/>
    <w:rsid w:val="00DB102B"/>
    <w:rsid w:val="00DB1313"/>
    <w:rsid w:val="00DB3417"/>
    <w:rsid w:val="00DB385F"/>
    <w:rsid w:val="00DB3B7B"/>
    <w:rsid w:val="00DB428F"/>
    <w:rsid w:val="00DB507E"/>
    <w:rsid w:val="00DB50C0"/>
    <w:rsid w:val="00DB792F"/>
    <w:rsid w:val="00DB7F33"/>
    <w:rsid w:val="00DC00DB"/>
    <w:rsid w:val="00DC0C3A"/>
    <w:rsid w:val="00DC0FB3"/>
    <w:rsid w:val="00DC2A74"/>
    <w:rsid w:val="00DC2DE4"/>
    <w:rsid w:val="00DC5A38"/>
    <w:rsid w:val="00DC5D4E"/>
    <w:rsid w:val="00DC618D"/>
    <w:rsid w:val="00DC6690"/>
    <w:rsid w:val="00DC6A7A"/>
    <w:rsid w:val="00DC6B24"/>
    <w:rsid w:val="00DD00C6"/>
    <w:rsid w:val="00DD1AFF"/>
    <w:rsid w:val="00DD2D2A"/>
    <w:rsid w:val="00DD3BC4"/>
    <w:rsid w:val="00DD3C1C"/>
    <w:rsid w:val="00DD4660"/>
    <w:rsid w:val="00DD54F1"/>
    <w:rsid w:val="00DD7E96"/>
    <w:rsid w:val="00DE0312"/>
    <w:rsid w:val="00DE0EA7"/>
    <w:rsid w:val="00DE1869"/>
    <w:rsid w:val="00DE1F33"/>
    <w:rsid w:val="00DE2192"/>
    <w:rsid w:val="00DE228E"/>
    <w:rsid w:val="00DE2B60"/>
    <w:rsid w:val="00DE2BDA"/>
    <w:rsid w:val="00DE335C"/>
    <w:rsid w:val="00DE3DA0"/>
    <w:rsid w:val="00DE537D"/>
    <w:rsid w:val="00DE58AF"/>
    <w:rsid w:val="00DE738E"/>
    <w:rsid w:val="00DE76AA"/>
    <w:rsid w:val="00DE76C3"/>
    <w:rsid w:val="00DE7D26"/>
    <w:rsid w:val="00DF00D8"/>
    <w:rsid w:val="00DF0E71"/>
    <w:rsid w:val="00DF1089"/>
    <w:rsid w:val="00DF14D9"/>
    <w:rsid w:val="00DF1E87"/>
    <w:rsid w:val="00DF58DD"/>
    <w:rsid w:val="00DF6578"/>
    <w:rsid w:val="00DF6E32"/>
    <w:rsid w:val="00DF7A31"/>
    <w:rsid w:val="00DF7E4E"/>
    <w:rsid w:val="00E00158"/>
    <w:rsid w:val="00E005E6"/>
    <w:rsid w:val="00E0173B"/>
    <w:rsid w:val="00E03BAF"/>
    <w:rsid w:val="00E03C04"/>
    <w:rsid w:val="00E03CCD"/>
    <w:rsid w:val="00E04C3B"/>
    <w:rsid w:val="00E071F9"/>
    <w:rsid w:val="00E07755"/>
    <w:rsid w:val="00E079E7"/>
    <w:rsid w:val="00E11F0E"/>
    <w:rsid w:val="00E12BD4"/>
    <w:rsid w:val="00E14D14"/>
    <w:rsid w:val="00E1595D"/>
    <w:rsid w:val="00E16857"/>
    <w:rsid w:val="00E16A87"/>
    <w:rsid w:val="00E173AA"/>
    <w:rsid w:val="00E175C9"/>
    <w:rsid w:val="00E204D6"/>
    <w:rsid w:val="00E21F04"/>
    <w:rsid w:val="00E22253"/>
    <w:rsid w:val="00E22900"/>
    <w:rsid w:val="00E22F62"/>
    <w:rsid w:val="00E22F6C"/>
    <w:rsid w:val="00E23311"/>
    <w:rsid w:val="00E24EBB"/>
    <w:rsid w:val="00E24FBF"/>
    <w:rsid w:val="00E26CD8"/>
    <w:rsid w:val="00E27B45"/>
    <w:rsid w:val="00E30BBD"/>
    <w:rsid w:val="00E315B0"/>
    <w:rsid w:val="00E31E37"/>
    <w:rsid w:val="00E322B5"/>
    <w:rsid w:val="00E329EA"/>
    <w:rsid w:val="00E330F2"/>
    <w:rsid w:val="00E333EB"/>
    <w:rsid w:val="00E348C2"/>
    <w:rsid w:val="00E34E1A"/>
    <w:rsid w:val="00E3664B"/>
    <w:rsid w:val="00E36C29"/>
    <w:rsid w:val="00E371B9"/>
    <w:rsid w:val="00E37269"/>
    <w:rsid w:val="00E37678"/>
    <w:rsid w:val="00E37F2E"/>
    <w:rsid w:val="00E4029C"/>
    <w:rsid w:val="00E417D8"/>
    <w:rsid w:val="00E41C83"/>
    <w:rsid w:val="00E43DC3"/>
    <w:rsid w:val="00E47021"/>
    <w:rsid w:val="00E47189"/>
    <w:rsid w:val="00E47852"/>
    <w:rsid w:val="00E50825"/>
    <w:rsid w:val="00E51D84"/>
    <w:rsid w:val="00E54367"/>
    <w:rsid w:val="00E557DE"/>
    <w:rsid w:val="00E56F28"/>
    <w:rsid w:val="00E57508"/>
    <w:rsid w:val="00E62ADD"/>
    <w:rsid w:val="00E62C03"/>
    <w:rsid w:val="00E62EE5"/>
    <w:rsid w:val="00E6410A"/>
    <w:rsid w:val="00E65983"/>
    <w:rsid w:val="00E65CF8"/>
    <w:rsid w:val="00E66F3A"/>
    <w:rsid w:val="00E672C9"/>
    <w:rsid w:val="00E67D44"/>
    <w:rsid w:val="00E711F1"/>
    <w:rsid w:val="00E714A0"/>
    <w:rsid w:val="00E719D5"/>
    <w:rsid w:val="00E71D18"/>
    <w:rsid w:val="00E73CF8"/>
    <w:rsid w:val="00E76EFA"/>
    <w:rsid w:val="00E806F6"/>
    <w:rsid w:val="00E80E6A"/>
    <w:rsid w:val="00E81071"/>
    <w:rsid w:val="00E81684"/>
    <w:rsid w:val="00E81ADF"/>
    <w:rsid w:val="00E82C41"/>
    <w:rsid w:val="00E86425"/>
    <w:rsid w:val="00E86561"/>
    <w:rsid w:val="00E90677"/>
    <w:rsid w:val="00E90F7F"/>
    <w:rsid w:val="00E91229"/>
    <w:rsid w:val="00E914C6"/>
    <w:rsid w:val="00E92363"/>
    <w:rsid w:val="00E9373D"/>
    <w:rsid w:val="00E93F00"/>
    <w:rsid w:val="00EA15A3"/>
    <w:rsid w:val="00EA16DF"/>
    <w:rsid w:val="00EA1A00"/>
    <w:rsid w:val="00EA365A"/>
    <w:rsid w:val="00EA520B"/>
    <w:rsid w:val="00EA54C9"/>
    <w:rsid w:val="00EA5F2C"/>
    <w:rsid w:val="00EA7013"/>
    <w:rsid w:val="00EA7687"/>
    <w:rsid w:val="00EA7BEB"/>
    <w:rsid w:val="00EB1565"/>
    <w:rsid w:val="00EB3037"/>
    <w:rsid w:val="00EB32FE"/>
    <w:rsid w:val="00EB3F74"/>
    <w:rsid w:val="00EB45EA"/>
    <w:rsid w:val="00EB5076"/>
    <w:rsid w:val="00EB6775"/>
    <w:rsid w:val="00EB7148"/>
    <w:rsid w:val="00EB7A21"/>
    <w:rsid w:val="00EC09FF"/>
    <w:rsid w:val="00EC0A71"/>
    <w:rsid w:val="00EC534D"/>
    <w:rsid w:val="00EC5C5A"/>
    <w:rsid w:val="00EC670D"/>
    <w:rsid w:val="00EC7507"/>
    <w:rsid w:val="00EC77B3"/>
    <w:rsid w:val="00EC7E4F"/>
    <w:rsid w:val="00ED29BF"/>
    <w:rsid w:val="00ED2ED8"/>
    <w:rsid w:val="00ED425A"/>
    <w:rsid w:val="00ED4CA0"/>
    <w:rsid w:val="00ED5499"/>
    <w:rsid w:val="00ED5F99"/>
    <w:rsid w:val="00ED7014"/>
    <w:rsid w:val="00ED7A2B"/>
    <w:rsid w:val="00EE0673"/>
    <w:rsid w:val="00EE0F74"/>
    <w:rsid w:val="00EE2C18"/>
    <w:rsid w:val="00EE3366"/>
    <w:rsid w:val="00EE4B97"/>
    <w:rsid w:val="00EE4C09"/>
    <w:rsid w:val="00EE4E46"/>
    <w:rsid w:val="00EE5B5D"/>
    <w:rsid w:val="00EE6B27"/>
    <w:rsid w:val="00EF1EA4"/>
    <w:rsid w:val="00EF274F"/>
    <w:rsid w:val="00EF4101"/>
    <w:rsid w:val="00EF55BC"/>
    <w:rsid w:val="00EF6399"/>
    <w:rsid w:val="00F02279"/>
    <w:rsid w:val="00F02A7A"/>
    <w:rsid w:val="00F03290"/>
    <w:rsid w:val="00F0369F"/>
    <w:rsid w:val="00F03B66"/>
    <w:rsid w:val="00F04155"/>
    <w:rsid w:val="00F0783F"/>
    <w:rsid w:val="00F101CD"/>
    <w:rsid w:val="00F1206A"/>
    <w:rsid w:val="00F12749"/>
    <w:rsid w:val="00F152C3"/>
    <w:rsid w:val="00F15340"/>
    <w:rsid w:val="00F15F9C"/>
    <w:rsid w:val="00F17549"/>
    <w:rsid w:val="00F2157C"/>
    <w:rsid w:val="00F2174F"/>
    <w:rsid w:val="00F22024"/>
    <w:rsid w:val="00F23086"/>
    <w:rsid w:val="00F2319F"/>
    <w:rsid w:val="00F23FB5"/>
    <w:rsid w:val="00F244AE"/>
    <w:rsid w:val="00F244BB"/>
    <w:rsid w:val="00F2526B"/>
    <w:rsid w:val="00F2638C"/>
    <w:rsid w:val="00F30559"/>
    <w:rsid w:val="00F30976"/>
    <w:rsid w:val="00F32128"/>
    <w:rsid w:val="00F32C5A"/>
    <w:rsid w:val="00F3366E"/>
    <w:rsid w:val="00F33CDC"/>
    <w:rsid w:val="00F346C9"/>
    <w:rsid w:val="00F372EB"/>
    <w:rsid w:val="00F3730F"/>
    <w:rsid w:val="00F37E06"/>
    <w:rsid w:val="00F42FF3"/>
    <w:rsid w:val="00F430F9"/>
    <w:rsid w:val="00F444D4"/>
    <w:rsid w:val="00F44749"/>
    <w:rsid w:val="00F457E9"/>
    <w:rsid w:val="00F46716"/>
    <w:rsid w:val="00F5032A"/>
    <w:rsid w:val="00F50593"/>
    <w:rsid w:val="00F509FE"/>
    <w:rsid w:val="00F518D8"/>
    <w:rsid w:val="00F51FC4"/>
    <w:rsid w:val="00F52046"/>
    <w:rsid w:val="00F53543"/>
    <w:rsid w:val="00F5399D"/>
    <w:rsid w:val="00F5427A"/>
    <w:rsid w:val="00F543A6"/>
    <w:rsid w:val="00F55942"/>
    <w:rsid w:val="00F55A29"/>
    <w:rsid w:val="00F55CDC"/>
    <w:rsid w:val="00F55FC3"/>
    <w:rsid w:val="00F616C8"/>
    <w:rsid w:val="00F633A0"/>
    <w:rsid w:val="00F638B5"/>
    <w:rsid w:val="00F6522F"/>
    <w:rsid w:val="00F65628"/>
    <w:rsid w:val="00F65F61"/>
    <w:rsid w:val="00F6649D"/>
    <w:rsid w:val="00F673A3"/>
    <w:rsid w:val="00F679A9"/>
    <w:rsid w:val="00F67C53"/>
    <w:rsid w:val="00F7458F"/>
    <w:rsid w:val="00F754E9"/>
    <w:rsid w:val="00F76718"/>
    <w:rsid w:val="00F76BE5"/>
    <w:rsid w:val="00F803DF"/>
    <w:rsid w:val="00F81131"/>
    <w:rsid w:val="00F813A2"/>
    <w:rsid w:val="00F82376"/>
    <w:rsid w:val="00F82EA6"/>
    <w:rsid w:val="00F8364B"/>
    <w:rsid w:val="00F83A46"/>
    <w:rsid w:val="00F83E1F"/>
    <w:rsid w:val="00F84AEB"/>
    <w:rsid w:val="00F85C4D"/>
    <w:rsid w:val="00F8702C"/>
    <w:rsid w:val="00F8759A"/>
    <w:rsid w:val="00F879DD"/>
    <w:rsid w:val="00F9018B"/>
    <w:rsid w:val="00F909DA"/>
    <w:rsid w:val="00F91FFB"/>
    <w:rsid w:val="00F936B5"/>
    <w:rsid w:val="00F93906"/>
    <w:rsid w:val="00F93F1D"/>
    <w:rsid w:val="00F9457C"/>
    <w:rsid w:val="00F948C9"/>
    <w:rsid w:val="00F94DE9"/>
    <w:rsid w:val="00F96989"/>
    <w:rsid w:val="00FA1D8D"/>
    <w:rsid w:val="00FA2676"/>
    <w:rsid w:val="00FA2D99"/>
    <w:rsid w:val="00FA7644"/>
    <w:rsid w:val="00FA768E"/>
    <w:rsid w:val="00FB008C"/>
    <w:rsid w:val="00FB3071"/>
    <w:rsid w:val="00FB34B2"/>
    <w:rsid w:val="00FB3963"/>
    <w:rsid w:val="00FB5055"/>
    <w:rsid w:val="00FB549B"/>
    <w:rsid w:val="00FB5AF9"/>
    <w:rsid w:val="00FB5E7E"/>
    <w:rsid w:val="00FB6EA2"/>
    <w:rsid w:val="00FC15D5"/>
    <w:rsid w:val="00FC354F"/>
    <w:rsid w:val="00FC43B1"/>
    <w:rsid w:val="00FC44AD"/>
    <w:rsid w:val="00FD35A5"/>
    <w:rsid w:val="00FD35FE"/>
    <w:rsid w:val="00FD51FA"/>
    <w:rsid w:val="00FD521C"/>
    <w:rsid w:val="00FD7A54"/>
    <w:rsid w:val="00FE0C9B"/>
    <w:rsid w:val="00FE0D8E"/>
    <w:rsid w:val="00FE2C86"/>
    <w:rsid w:val="00FE3149"/>
    <w:rsid w:val="00FE3D07"/>
    <w:rsid w:val="00FE446C"/>
    <w:rsid w:val="00FE584F"/>
    <w:rsid w:val="00FE589F"/>
    <w:rsid w:val="00FE6CB3"/>
    <w:rsid w:val="00FE7EAF"/>
    <w:rsid w:val="00FF0106"/>
    <w:rsid w:val="00FF054F"/>
    <w:rsid w:val="00FF2812"/>
    <w:rsid w:val="00FF2E7C"/>
    <w:rsid w:val="00FF309A"/>
    <w:rsid w:val="00FF39CB"/>
    <w:rsid w:val="00FF3A5D"/>
    <w:rsid w:val="00FF479C"/>
    <w:rsid w:val="00FF4E2E"/>
    <w:rsid w:val="00FF5F52"/>
    <w:rsid w:val="00FF79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41314">
      <o:colormenu v:ext="edit" strokecolor="#002060"/>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76264"/>
    <w:pPr>
      <w:widowControl w:val="0"/>
      <w:jc w:val="both"/>
    </w:pPr>
    <w:rPr>
      <w:kern w:val="2"/>
      <w:sz w:val="21"/>
      <w:szCs w:val="24"/>
    </w:rPr>
  </w:style>
  <w:style w:type="paragraph" w:styleId="1">
    <w:name w:val="heading 1"/>
    <w:basedOn w:val="a"/>
    <w:next w:val="a"/>
    <w:link w:val="1Char"/>
    <w:qFormat/>
    <w:rsid w:val="000A19D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A19D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93F0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C1DC4"/>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rsid w:val="009C1DC4"/>
    <w:pPr>
      <w:tabs>
        <w:tab w:val="center" w:pos="4153"/>
        <w:tab w:val="right" w:pos="8306"/>
      </w:tabs>
      <w:snapToGrid w:val="0"/>
      <w:jc w:val="left"/>
    </w:pPr>
    <w:rPr>
      <w:sz w:val="18"/>
      <w:szCs w:val="18"/>
    </w:rPr>
  </w:style>
  <w:style w:type="character" w:styleId="a5">
    <w:name w:val="Hyperlink"/>
    <w:basedOn w:val="a0"/>
    <w:uiPriority w:val="99"/>
    <w:rsid w:val="00E66F3A"/>
    <w:rPr>
      <w:rFonts w:ascii="ˎ̥" w:hAnsi="ˎ̥" w:hint="default"/>
      <w:strike w:val="0"/>
      <w:dstrike w:val="0"/>
      <w:color w:val="000000"/>
      <w:sz w:val="18"/>
      <w:szCs w:val="18"/>
      <w:u w:val="none"/>
      <w:effect w:val="none"/>
    </w:rPr>
  </w:style>
  <w:style w:type="character" w:customStyle="1" w:styleId="1Char">
    <w:name w:val="标题 1 Char"/>
    <w:basedOn w:val="a0"/>
    <w:link w:val="1"/>
    <w:rsid w:val="000A19DE"/>
    <w:rPr>
      <w:rFonts w:eastAsia="宋体"/>
      <w:b/>
      <w:bCs/>
      <w:kern w:val="44"/>
      <w:sz w:val="44"/>
      <w:szCs w:val="44"/>
      <w:lang w:val="en-US" w:eastAsia="zh-CN" w:bidi="ar-SA"/>
    </w:rPr>
  </w:style>
  <w:style w:type="character" w:customStyle="1" w:styleId="2Char">
    <w:name w:val="标题 2 Char"/>
    <w:basedOn w:val="a0"/>
    <w:link w:val="2"/>
    <w:rsid w:val="000A19DE"/>
    <w:rPr>
      <w:rFonts w:ascii="Arial" w:eastAsia="黑体" w:hAnsi="Arial"/>
      <w:b/>
      <w:bCs/>
      <w:kern w:val="2"/>
      <w:sz w:val="32"/>
      <w:szCs w:val="32"/>
      <w:lang w:val="en-US" w:eastAsia="zh-CN" w:bidi="ar-SA"/>
    </w:rPr>
  </w:style>
  <w:style w:type="paragraph" w:customStyle="1" w:styleId="CharCharCharCharCharCharCharCharChar">
    <w:name w:val="Char Char Char Char Char Char Char Char Char"/>
    <w:basedOn w:val="a"/>
    <w:rsid w:val="00572B38"/>
    <w:rPr>
      <w:rFonts w:ascii="Arial" w:hAnsi="Arial" w:cs="Arial"/>
      <w:sz w:val="20"/>
      <w:szCs w:val="20"/>
    </w:rPr>
  </w:style>
  <w:style w:type="character" w:customStyle="1" w:styleId="CharChar">
    <w:name w:val="Char Char"/>
    <w:basedOn w:val="a0"/>
    <w:rsid w:val="00572B38"/>
    <w:rPr>
      <w:rFonts w:ascii="Arial" w:eastAsia="黑体" w:hAnsi="Arial"/>
      <w:b/>
      <w:bCs/>
      <w:kern w:val="2"/>
      <w:sz w:val="32"/>
      <w:szCs w:val="32"/>
      <w:lang w:val="en-US" w:eastAsia="zh-CN" w:bidi="ar-SA"/>
    </w:rPr>
  </w:style>
  <w:style w:type="character" w:styleId="a6">
    <w:name w:val="page number"/>
    <w:basedOn w:val="a0"/>
    <w:rsid w:val="009255DB"/>
  </w:style>
  <w:style w:type="table" w:styleId="a7">
    <w:name w:val="Table Grid"/>
    <w:basedOn w:val="a1"/>
    <w:uiPriority w:val="59"/>
    <w:rsid w:val="001C048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ngju">
    <w:name w:val="hangju"/>
    <w:basedOn w:val="a0"/>
    <w:rsid w:val="001C048F"/>
  </w:style>
  <w:style w:type="table" w:styleId="30">
    <w:name w:val="Table List 3"/>
    <w:basedOn w:val="a1"/>
    <w:rsid w:val="0077092E"/>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5">
    <w:name w:val="Table Grid 5"/>
    <w:basedOn w:val="a1"/>
    <w:rsid w:val="0077092E"/>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8">
    <w:name w:val="caption"/>
    <w:basedOn w:val="a"/>
    <w:next w:val="a"/>
    <w:uiPriority w:val="35"/>
    <w:qFormat/>
    <w:rsid w:val="00F15340"/>
    <w:rPr>
      <w:rFonts w:ascii="Arial" w:eastAsia="黑体" w:hAnsi="Arial" w:cs="Arial"/>
      <w:sz w:val="20"/>
      <w:szCs w:val="20"/>
    </w:rPr>
  </w:style>
  <w:style w:type="paragraph" w:styleId="a9">
    <w:name w:val="footnote text"/>
    <w:basedOn w:val="a"/>
    <w:semiHidden/>
    <w:rsid w:val="00F15340"/>
    <w:pPr>
      <w:snapToGrid w:val="0"/>
      <w:jc w:val="left"/>
    </w:pPr>
    <w:rPr>
      <w:sz w:val="18"/>
      <w:szCs w:val="18"/>
    </w:rPr>
  </w:style>
  <w:style w:type="character" w:styleId="aa">
    <w:name w:val="footnote reference"/>
    <w:basedOn w:val="a0"/>
    <w:semiHidden/>
    <w:rsid w:val="00F15340"/>
    <w:rPr>
      <w:vertAlign w:val="superscript"/>
    </w:rPr>
  </w:style>
  <w:style w:type="character" w:styleId="ab">
    <w:name w:val="Strong"/>
    <w:basedOn w:val="a0"/>
    <w:qFormat/>
    <w:rsid w:val="00C422B3"/>
    <w:rPr>
      <w:b/>
      <w:bCs/>
    </w:rPr>
  </w:style>
  <w:style w:type="paragraph" w:styleId="10">
    <w:name w:val="toc 1"/>
    <w:basedOn w:val="a"/>
    <w:next w:val="a"/>
    <w:autoRedefine/>
    <w:uiPriority w:val="39"/>
    <w:rsid w:val="004D7908"/>
    <w:pPr>
      <w:tabs>
        <w:tab w:val="left" w:pos="1260"/>
        <w:tab w:val="right" w:leader="dot" w:pos="8302"/>
      </w:tabs>
    </w:pPr>
    <w:rPr>
      <w:rFonts w:asciiTheme="minorEastAsia" w:eastAsiaTheme="minorEastAsia" w:hAnsiTheme="minorEastAsia"/>
      <w:b/>
      <w:bCs/>
      <w:color w:val="993300"/>
      <w:szCs w:val="21"/>
    </w:rPr>
  </w:style>
  <w:style w:type="paragraph" w:styleId="ac">
    <w:name w:val="List Paragraph"/>
    <w:basedOn w:val="a"/>
    <w:qFormat/>
    <w:rsid w:val="00E93F00"/>
    <w:pPr>
      <w:ind w:firstLineChars="200" w:firstLine="420"/>
    </w:pPr>
  </w:style>
  <w:style w:type="character" w:customStyle="1" w:styleId="3Char">
    <w:name w:val="标题 3 Char"/>
    <w:basedOn w:val="a0"/>
    <w:link w:val="3"/>
    <w:rsid w:val="00E93F00"/>
    <w:rPr>
      <w:b/>
      <w:bCs/>
      <w:kern w:val="2"/>
      <w:sz w:val="32"/>
      <w:szCs w:val="32"/>
    </w:rPr>
  </w:style>
  <w:style w:type="paragraph" w:styleId="20">
    <w:name w:val="toc 2"/>
    <w:basedOn w:val="a"/>
    <w:next w:val="a"/>
    <w:autoRedefine/>
    <w:uiPriority w:val="39"/>
    <w:rsid w:val="00555911"/>
    <w:pPr>
      <w:tabs>
        <w:tab w:val="right" w:leader="dot" w:pos="8302"/>
      </w:tabs>
      <w:ind w:leftChars="200" w:left="420" w:firstLineChars="239" w:firstLine="430"/>
    </w:pPr>
  </w:style>
  <w:style w:type="paragraph" w:styleId="31">
    <w:name w:val="toc 3"/>
    <w:basedOn w:val="a"/>
    <w:next w:val="a"/>
    <w:autoRedefine/>
    <w:uiPriority w:val="39"/>
    <w:rsid w:val="00C85ABF"/>
    <w:pPr>
      <w:tabs>
        <w:tab w:val="left" w:pos="1200"/>
        <w:tab w:val="right" w:leader="dot" w:pos="8302"/>
      </w:tabs>
      <w:adjustRightInd w:val="0"/>
      <w:snapToGrid w:val="0"/>
      <w:spacing w:line="300" w:lineRule="auto"/>
      <w:ind w:leftChars="400" w:left="840"/>
    </w:pPr>
  </w:style>
  <w:style w:type="paragraph" w:styleId="ad">
    <w:name w:val="Normal (Web)"/>
    <w:basedOn w:val="a"/>
    <w:uiPriority w:val="99"/>
    <w:rsid w:val="00915CDE"/>
    <w:pPr>
      <w:widowControl/>
      <w:spacing w:before="100" w:beforeAutospacing="1" w:after="100" w:afterAutospacing="1"/>
      <w:jc w:val="left"/>
    </w:pPr>
    <w:rPr>
      <w:rFonts w:ascii="宋体" w:hAnsi="宋体" w:cs="宋体"/>
      <w:kern w:val="0"/>
      <w:sz w:val="24"/>
    </w:rPr>
  </w:style>
  <w:style w:type="character" w:customStyle="1" w:styleId="lbldetailcontent1">
    <w:name w:val="lbldetailcontent1"/>
    <w:basedOn w:val="a0"/>
    <w:rsid w:val="00621164"/>
    <w:rPr>
      <w:bdr w:val="none" w:sz="0" w:space="0" w:color="auto" w:frame="1"/>
    </w:rPr>
  </w:style>
  <w:style w:type="paragraph" w:styleId="TOC">
    <w:name w:val="TOC Heading"/>
    <w:basedOn w:val="1"/>
    <w:next w:val="a"/>
    <w:uiPriority w:val="39"/>
    <w:qFormat/>
    <w:rsid w:val="00025510"/>
    <w:pPr>
      <w:widowControl/>
      <w:spacing w:before="480" w:after="0" w:line="276" w:lineRule="auto"/>
      <w:jc w:val="left"/>
      <w:outlineLvl w:val="9"/>
    </w:pPr>
    <w:rPr>
      <w:rFonts w:ascii="Cambria" w:hAnsi="Cambria"/>
      <w:color w:val="365F91"/>
      <w:kern w:val="0"/>
      <w:sz w:val="28"/>
      <w:szCs w:val="28"/>
    </w:rPr>
  </w:style>
  <w:style w:type="character" w:customStyle="1" w:styleId="Char">
    <w:name w:val="页脚 Char"/>
    <w:basedOn w:val="a0"/>
    <w:link w:val="a4"/>
    <w:uiPriority w:val="99"/>
    <w:rsid w:val="00025510"/>
    <w:rPr>
      <w:kern w:val="2"/>
      <w:sz w:val="18"/>
      <w:szCs w:val="18"/>
    </w:rPr>
  </w:style>
  <w:style w:type="paragraph" w:styleId="ae">
    <w:name w:val="table of figures"/>
    <w:basedOn w:val="a"/>
    <w:next w:val="a"/>
    <w:uiPriority w:val="99"/>
    <w:rsid w:val="00025510"/>
    <w:pPr>
      <w:ind w:leftChars="200" w:left="200" w:hangingChars="200" w:hanging="200"/>
    </w:pPr>
  </w:style>
  <w:style w:type="paragraph" w:styleId="af">
    <w:name w:val="Balloon Text"/>
    <w:basedOn w:val="a"/>
    <w:link w:val="Char0"/>
    <w:rsid w:val="00354385"/>
    <w:rPr>
      <w:sz w:val="18"/>
      <w:szCs w:val="18"/>
    </w:rPr>
  </w:style>
  <w:style w:type="character" w:customStyle="1" w:styleId="Char0">
    <w:name w:val="批注框文本 Char"/>
    <w:basedOn w:val="a0"/>
    <w:link w:val="af"/>
    <w:rsid w:val="00354385"/>
    <w:rPr>
      <w:kern w:val="2"/>
      <w:sz w:val="18"/>
      <w:szCs w:val="18"/>
    </w:rPr>
  </w:style>
  <w:style w:type="character" w:customStyle="1" w:styleId="apple-style-span">
    <w:name w:val="apple-style-span"/>
    <w:basedOn w:val="a0"/>
    <w:rsid w:val="006D2B8C"/>
  </w:style>
  <w:style w:type="character" w:styleId="af0">
    <w:name w:val="FollowedHyperlink"/>
    <w:basedOn w:val="a0"/>
    <w:rsid w:val="003B4566"/>
    <w:rPr>
      <w:color w:val="800080"/>
      <w:u w:val="single"/>
    </w:rPr>
  </w:style>
  <w:style w:type="paragraph" w:customStyle="1" w:styleId="Default">
    <w:name w:val="Default"/>
    <w:rsid w:val="00290D0B"/>
    <w:pPr>
      <w:widowControl w:val="0"/>
      <w:autoSpaceDE w:val="0"/>
      <w:autoSpaceDN w:val="0"/>
      <w:adjustRightInd w:val="0"/>
    </w:pPr>
    <w:rPr>
      <w:rFonts w:ascii="楷体_GB2312" w:eastAsia="楷体_GB2312" w:cs="楷体_GB2312"/>
      <w:color w:val="000000"/>
      <w:sz w:val="24"/>
      <w:szCs w:val="24"/>
    </w:rPr>
  </w:style>
  <w:style w:type="paragraph" w:styleId="af1">
    <w:name w:val="Document Map"/>
    <w:basedOn w:val="a"/>
    <w:link w:val="Char1"/>
    <w:rsid w:val="00625C75"/>
    <w:rPr>
      <w:rFonts w:ascii="宋体"/>
      <w:sz w:val="18"/>
      <w:szCs w:val="18"/>
    </w:rPr>
  </w:style>
  <w:style w:type="character" w:customStyle="1" w:styleId="Char1">
    <w:name w:val="文档结构图 Char"/>
    <w:basedOn w:val="a0"/>
    <w:link w:val="af1"/>
    <w:rsid w:val="00625C75"/>
    <w:rPr>
      <w:rFonts w:ascii="宋体"/>
      <w:kern w:val="2"/>
      <w:sz w:val="18"/>
      <w:szCs w:val="18"/>
    </w:rPr>
  </w:style>
  <w:style w:type="character" w:customStyle="1" w:styleId="red">
    <w:name w:val="red"/>
    <w:basedOn w:val="a0"/>
    <w:rsid w:val="00724FCA"/>
  </w:style>
  <w:style w:type="character" w:customStyle="1" w:styleId="apple-converted-space">
    <w:name w:val="apple-converted-space"/>
    <w:basedOn w:val="a0"/>
    <w:rsid w:val="00724FCA"/>
  </w:style>
  <w:style w:type="paragraph" w:styleId="af2">
    <w:name w:val="Title"/>
    <w:basedOn w:val="a"/>
    <w:next w:val="a"/>
    <w:link w:val="Char2"/>
    <w:qFormat/>
    <w:rsid w:val="000754AF"/>
    <w:pPr>
      <w:spacing w:before="240" w:after="60"/>
      <w:jc w:val="center"/>
      <w:outlineLvl w:val="0"/>
    </w:pPr>
    <w:rPr>
      <w:rFonts w:asciiTheme="majorHAnsi" w:hAnsiTheme="majorHAnsi" w:cstheme="majorBidi"/>
      <w:b/>
      <w:bCs/>
      <w:sz w:val="32"/>
      <w:szCs w:val="32"/>
    </w:rPr>
  </w:style>
  <w:style w:type="character" w:customStyle="1" w:styleId="Char2">
    <w:name w:val="标题 Char"/>
    <w:basedOn w:val="a0"/>
    <w:link w:val="af2"/>
    <w:rsid w:val="000754AF"/>
    <w:rPr>
      <w:rFonts w:asciiTheme="majorHAnsi" w:hAnsiTheme="majorHAnsi" w:cstheme="majorBidi"/>
      <w:b/>
      <w:bCs/>
      <w:kern w:val="2"/>
      <w:sz w:val="32"/>
      <w:szCs w:val="32"/>
    </w:rPr>
  </w:style>
  <w:style w:type="character" w:styleId="af3">
    <w:name w:val="annotation reference"/>
    <w:basedOn w:val="a0"/>
    <w:rsid w:val="00BC03D4"/>
    <w:rPr>
      <w:sz w:val="21"/>
      <w:szCs w:val="21"/>
    </w:rPr>
  </w:style>
  <w:style w:type="paragraph" w:styleId="af4">
    <w:name w:val="annotation text"/>
    <w:basedOn w:val="a"/>
    <w:link w:val="Char3"/>
    <w:rsid w:val="00BC03D4"/>
    <w:pPr>
      <w:jc w:val="left"/>
    </w:pPr>
  </w:style>
  <w:style w:type="character" w:customStyle="1" w:styleId="Char3">
    <w:name w:val="批注文字 Char"/>
    <w:basedOn w:val="a0"/>
    <w:link w:val="af4"/>
    <w:rsid w:val="00BC03D4"/>
    <w:rPr>
      <w:kern w:val="2"/>
      <w:sz w:val="21"/>
      <w:szCs w:val="24"/>
    </w:rPr>
  </w:style>
  <w:style w:type="paragraph" w:styleId="af5">
    <w:name w:val="annotation subject"/>
    <w:basedOn w:val="af4"/>
    <w:next w:val="af4"/>
    <w:link w:val="Char4"/>
    <w:rsid w:val="00BC03D4"/>
    <w:rPr>
      <w:b/>
      <w:bCs/>
    </w:rPr>
  </w:style>
  <w:style w:type="character" w:customStyle="1" w:styleId="Char4">
    <w:name w:val="批注主题 Char"/>
    <w:basedOn w:val="Char3"/>
    <w:link w:val="af5"/>
    <w:rsid w:val="00BC03D4"/>
    <w:rPr>
      <w:b/>
      <w:bCs/>
    </w:rPr>
  </w:style>
  <w:style w:type="character" w:customStyle="1" w:styleId="underline1">
    <w:name w:val="underline1"/>
    <w:basedOn w:val="a0"/>
    <w:rsid w:val="00B67060"/>
    <w:rPr>
      <w:u w:val="single"/>
    </w:rPr>
  </w:style>
  <w:style w:type="character" w:customStyle="1" w:styleId="underline">
    <w:name w:val="underline"/>
    <w:basedOn w:val="a0"/>
    <w:rsid w:val="00156DBC"/>
  </w:style>
</w:styles>
</file>

<file path=word/webSettings.xml><?xml version="1.0" encoding="utf-8"?>
<w:webSettings xmlns:r="http://schemas.openxmlformats.org/officeDocument/2006/relationships" xmlns:w="http://schemas.openxmlformats.org/wordprocessingml/2006/main">
  <w:divs>
    <w:div w:id="9383234">
      <w:bodyDiv w:val="1"/>
      <w:marLeft w:val="0"/>
      <w:marRight w:val="0"/>
      <w:marTop w:val="0"/>
      <w:marBottom w:val="0"/>
      <w:divBdr>
        <w:top w:val="none" w:sz="0" w:space="0" w:color="auto"/>
        <w:left w:val="none" w:sz="0" w:space="0" w:color="auto"/>
        <w:bottom w:val="none" w:sz="0" w:space="0" w:color="auto"/>
        <w:right w:val="none" w:sz="0" w:space="0" w:color="auto"/>
      </w:divBdr>
      <w:divsChild>
        <w:div w:id="59834812">
          <w:marLeft w:val="0"/>
          <w:marRight w:val="0"/>
          <w:marTop w:val="0"/>
          <w:marBottom w:val="0"/>
          <w:divBdr>
            <w:top w:val="none" w:sz="0" w:space="0" w:color="auto"/>
            <w:left w:val="none" w:sz="0" w:space="0" w:color="auto"/>
            <w:bottom w:val="none" w:sz="0" w:space="0" w:color="auto"/>
            <w:right w:val="none" w:sz="0" w:space="0" w:color="auto"/>
          </w:divBdr>
        </w:div>
      </w:divsChild>
    </w:div>
    <w:div w:id="10643493">
      <w:bodyDiv w:val="1"/>
      <w:marLeft w:val="0"/>
      <w:marRight w:val="0"/>
      <w:marTop w:val="0"/>
      <w:marBottom w:val="0"/>
      <w:divBdr>
        <w:top w:val="none" w:sz="0" w:space="0" w:color="auto"/>
        <w:left w:val="none" w:sz="0" w:space="0" w:color="auto"/>
        <w:bottom w:val="none" w:sz="0" w:space="0" w:color="auto"/>
        <w:right w:val="none" w:sz="0" w:space="0" w:color="auto"/>
      </w:divBdr>
    </w:div>
    <w:div w:id="73019336">
      <w:bodyDiv w:val="1"/>
      <w:marLeft w:val="0"/>
      <w:marRight w:val="0"/>
      <w:marTop w:val="0"/>
      <w:marBottom w:val="0"/>
      <w:divBdr>
        <w:top w:val="none" w:sz="0" w:space="0" w:color="auto"/>
        <w:left w:val="none" w:sz="0" w:space="0" w:color="auto"/>
        <w:bottom w:val="none" w:sz="0" w:space="0" w:color="auto"/>
        <w:right w:val="none" w:sz="0" w:space="0" w:color="auto"/>
      </w:divBdr>
      <w:divsChild>
        <w:div w:id="999234569">
          <w:marLeft w:val="0"/>
          <w:marRight w:val="136"/>
          <w:marTop w:val="136"/>
          <w:marBottom w:val="0"/>
          <w:divBdr>
            <w:top w:val="none" w:sz="0" w:space="0" w:color="auto"/>
            <w:left w:val="none" w:sz="0" w:space="0" w:color="auto"/>
            <w:bottom w:val="none" w:sz="0" w:space="0" w:color="auto"/>
            <w:right w:val="none" w:sz="0" w:space="0" w:color="auto"/>
          </w:divBdr>
          <w:divsChild>
            <w:div w:id="2108115571">
              <w:marLeft w:val="0"/>
              <w:marRight w:val="0"/>
              <w:marTop w:val="0"/>
              <w:marBottom w:val="136"/>
              <w:divBdr>
                <w:top w:val="none" w:sz="0" w:space="0" w:color="auto"/>
                <w:left w:val="none" w:sz="0" w:space="0" w:color="auto"/>
                <w:bottom w:val="none" w:sz="0" w:space="0" w:color="auto"/>
                <w:right w:val="none" w:sz="0" w:space="0" w:color="auto"/>
              </w:divBdr>
              <w:divsChild>
                <w:div w:id="10301557">
                  <w:marLeft w:val="0"/>
                  <w:marRight w:val="0"/>
                  <w:marTop w:val="0"/>
                  <w:marBottom w:val="0"/>
                  <w:divBdr>
                    <w:top w:val="single" w:sz="6" w:space="5" w:color="CFCFCF"/>
                    <w:left w:val="single" w:sz="6" w:space="5" w:color="CFCFCF"/>
                    <w:bottom w:val="single" w:sz="6" w:space="0" w:color="CFCFCF"/>
                    <w:right w:val="single" w:sz="6" w:space="5" w:color="CFCFCF"/>
                  </w:divBdr>
                  <w:divsChild>
                    <w:div w:id="1683699702">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sChild>
    </w:div>
    <w:div w:id="82725621">
      <w:bodyDiv w:val="1"/>
      <w:marLeft w:val="0"/>
      <w:marRight w:val="0"/>
      <w:marTop w:val="0"/>
      <w:marBottom w:val="0"/>
      <w:divBdr>
        <w:top w:val="none" w:sz="0" w:space="0" w:color="auto"/>
        <w:left w:val="none" w:sz="0" w:space="0" w:color="auto"/>
        <w:bottom w:val="none" w:sz="0" w:space="0" w:color="auto"/>
        <w:right w:val="none" w:sz="0" w:space="0" w:color="auto"/>
      </w:divBdr>
      <w:divsChild>
        <w:div w:id="1662077554">
          <w:marLeft w:val="0"/>
          <w:marRight w:val="92"/>
          <w:marTop w:val="0"/>
          <w:marBottom w:val="0"/>
          <w:divBdr>
            <w:top w:val="none" w:sz="0" w:space="0" w:color="auto"/>
            <w:left w:val="none" w:sz="0" w:space="0" w:color="auto"/>
            <w:bottom w:val="none" w:sz="0" w:space="0" w:color="auto"/>
            <w:right w:val="none" w:sz="0" w:space="0" w:color="auto"/>
          </w:divBdr>
          <w:divsChild>
            <w:div w:id="1540821196">
              <w:marLeft w:val="0"/>
              <w:marRight w:val="0"/>
              <w:marTop w:val="0"/>
              <w:marBottom w:val="115"/>
              <w:divBdr>
                <w:top w:val="single" w:sz="4" w:space="12" w:color="CCD9E6"/>
                <w:left w:val="single" w:sz="4" w:space="0" w:color="CCD9E6"/>
                <w:bottom w:val="single" w:sz="4" w:space="9" w:color="CCD9E6"/>
                <w:right w:val="single" w:sz="4" w:space="0" w:color="CCD9E6"/>
              </w:divBdr>
              <w:divsChild>
                <w:div w:id="575628394">
                  <w:marLeft w:val="0"/>
                  <w:marRight w:val="0"/>
                  <w:marTop w:val="184"/>
                  <w:marBottom w:val="184"/>
                  <w:divBdr>
                    <w:top w:val="none" w:sz="0" w:space="0" w:color="auto"/>
                    <w:left w:val="none" w:sz="0" w:space="0" w:color="auto"/>
                    <w:bottom w:val="none" w:sz="0" w:space="0" w:color="auto"/>
                    <w:right w:val="none" w:sz="0" w:space="0" w:color="auto"/>
                  </w:divBdr>
                  <w:divsChild>
                    <w:div w:id="635792773">
                      <w:marLeft w:val="0"/>
                      <w:marRight w:val="0"/>
                      <w:marTop w:val="0"/>
                      <w:marBottom w:val="0"/>
                      <w:divBdr>
                        <w:top w:val="none" w:sz="0" w:space="0" w:color="auto"/>
                        <w:left w:val="none" w:sz="0" w:space="0" w:color="auto"/>
                        <w:bottom w:val="none" w:sz="0" w:space="0" w:color="auto"/>
                        <w:right w:val="none" w:sz="0" w:space="0" w:color="auto"/>
                      </w:divBdr>
                      <w:divsChild>
                        <w:div w:id="15979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43281">
      <w:bodyDiv w:val="1"/>
      <w:marLeft w:val="0"/>
      <w:marRight w:val="0"/>
      <w:marTop w:val="0"/>
      <w:marBottom w:val="0"/>
      <w:divBdr>
        <w:top w:val="none" w:sz="0" w:space="0" w:color="auto"/>
        <w:left w:val="none" w:sz="0" w:space="0" w:color="auto"/>
        <w:bottom w:val="none" w:sz="0" w:space="0" w:color="auto"/>
        <w:right w:val="none" w:sz="0" w:space="0" w:color="auto"/>
      </w:divBdr>
    </w:div>
    <w:div w:id="201138647">
      <w:bodyDiv w:val="1"/>
      <w:marLeft w:val="0"/>
      <w:marRight w:val="0"/>
      <w:marTop w:val="0"/>
      <w:marBottom w:val="0"/>
      <w:divBdr>
        <w:top w:val="none" w:sz="0" w:space="0" w:color="auto"/>
        <w:left w:val="none" w:sz="0" w:space="0" w:color="auto"/>
        <w:bottom w:val="none" w:sz="0" w:space="0" w:color="auto"/>
        <w:right w:val="none" w:sz="0" w:space="0" w:color="auto"/>
      </w:divBdr>
    </w:div>
    <w:div w:id="236212529">
      <w:bodyDiv w:val="1"/>
      <w:marLeft w:val="0"/>
      <w:marRight w:val="0"/>
      <w:marTop w:val="0"/>
      <w:marBottom w:val="0"/>
      <w:divBdr>
        <w:top w:val="none" w:sz="0" w:space="0" w:color="auto"/>
        <w:left w:val="none" w:sz="0" w:space="0" w:color="auto"/>
        <w:bottom w:val="none" w:sz="0" w:space="0" w:color="auto"/>
        <w:right w:val="none" w:sz="0" w:space="0" w:color="auto"/>
      </w:divBdr>
      <w:divsChild>
        <w:div w:id="336540512">
          <w:marLeft w:val="0"/>
          <w:marRight w:val="0"/>
          <w:marTop w:val="0"/>
          <w:marBottom w:val="0"/>
          <w:divBdr>
            <w:top w:val="none" w:sz="0" w:space="0" w:color="auto"/>
            <w:left w:val="none" w:sz="0" w:space="0" w:color="auto"/>
            <w:bottom w:val="none" w:sz="0" w:space="0" w:color="auto"/>
            <w:right w:val="none" w:sz="0" w:space="0" w:color="auto"/>
          </w:divBdr>
          <w:divsChild>
            <w:div w:id="590235950">
              <w:marLeft w:val="0"/>
              <w:marRight w:val="0"/>
              <w:marTop w:val="0"/>
              <w:marBottom w:val="0"/>
              <w:divBdr>
                <w:top w:val="none" w:sz="0" w:space="0" w:color="auto"/>
                <w:left w:val="none" w:sz="0" w:space="0" w:color="auto"/>
                <w:bottom w:val="none" w:sz="0" w:space="0" w:color="auto"/>
                <w:right w:val="none" w:sz="0" w:space="0" w:color="auto"/>
              </w:divBdr>
              <w:divsChild>
                <w:div w:id="10423254">
                  <w:marLeft w:val="0"/>
                  <w:marRight w:val="0"/>
                  <w:marTop w:val="120"/>
                  <w:marBottom w:val="0"/>
                  <w:divBdr>
                    <w:top w:val="none" w:sz="0" w:space="0" w:color="auto"/>
                    <w:left w:val="none" w:sz="0" w:space="0" w:color="auto"/>
                    <w:bottom w:val="none" w:sz="0" w:space="0" w:color="auto"/>
                    <w:right w:val="none" w:sz="0" w:space="0" w:color="auto"/>
                  </w:divBdr>
                  <w:divsChild>
                    <w:div w:id="2072655602">
                      <w:marLeft w:val="0"/>
                      <w:marRight w:val="0"/>
                      <w:marTop w:val="0"/>
                      <w:marBottom w:val="0"/>
                      <w:divBdr>
                        <w:top w:val="none" w:sz="0" w:space="0" w:color="auto"/>
                        <w:left w:val="none" w:sz="0" w:space="0" w:color="auto"/>
                        <w:bottom w:val="none" w:sz="0" w:space="0" w:color="auto"/>
                        <w:right w:val="none" w:sz="0" w:space="0" w:color="auto"/>
                      </w:divBdr>
                      <w:divsChild>
                        <w:div w:id="71042130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26176529">
      <w:bodyDiv w:val="1"/>
      <w:marLeft w:val="0"/>
      <w:marRight w:val="0"/>
      <w:marTop w:val="0"/>
      <w:marBottom w:val="0"/>
      <w:divBdr>
        <w:top w:val="none" w:sz="0" w:space="0" w:color="auto"/>
        <w:left w:val="none" w:sz="0" w:space="0" w:color="auto"/>
        <w:bottom w:val="none" w:sz="0" w:space="0" w:color="auto"/>
        <w:right w:val="none" w:sz="0" w:space="0" w:color="auto"/>
      </w:divBdr>
    </w:div>
    <w:div w:id="364019475">
      <w:bodyDiv w:val="1"/>
      <w:marLeft w:val="0"/>
      <w:marRight w:val="0"/>
      <w:marTop w:val="0"/>
      <w:marBottom w:val="0"/>
      <w:divBdr>
        <w:top w:val="none" w:sz="0" w:space="0" w:color="auto"/>
        <w:left w:val="none" w:sz="0" w:space="0" w:color="auto"/>
        <w:bottom w:val="none" w:sz="0" w:space="0" w:color="auto"/>
        <w:right w:val="none" w:sz="0" w:space="0" w:color="auto"/>
      </w:divBdr>
    </w:div>
    <w:div w:id="404693302">
      <w:bodyDiv w:val="1"/>
      <w:marLeft w:val="0"/>
      <w:marRight w:val="0"/>
      <w:marTop w:val="0"/>
      <w:marBottom w:val="0"/>
      <w:divBdr>
        <w:top w:val="none" w:sz="0" w:space="0" w:color="auto"/>
        <w:left w:val="none" w:sz="0" w:space="0" w:color="auto"/>
        <w:bottom w:val="none" w:sz="0" w:space="0" w:color="auto"/>
        <w:right w:val="none" w:sz="0" w:space="0" w:color="auto"/>
      </w:divBdr>
    </w:div>
    <w:div w:id="415513789">
      <w:bodyDiv w:val="1"/>
      <w:marLeft w:val="0"/>
      <w:marRight w:val="0"/>
      <w:marTop w:val="0"/>
      <w:marBottom w:val="0"/>
      <w:divBdr>
        <w:top w:val="none" w:sz="0" w:space="0" w:color="auto"/>
        <w:left w:val="none" w:sz="0" w:space="0" w:color="auto"/>
        <w:bottom w:val="none" w:sz="0" w:space="0" w:color="auto"/>
        <w:right w:val="none" w:sz="0" w:space="0" w:color="auto"/>
      </w:divBdr>
    </w:div>
    <w:div w:id="447896614">
      <w:bodyDiv w:val="1"/>
      <w:marLeft w:val="0"/>
      <w:marRight w:val="0"/>
      <w:marTop w:val="0"/>
      <w:marBottom w:val="0"/>
      <w:divBdr>
        <w:top w:val="none" w:sz="0" w:space="0" w:color="auto"/>
        <w:left w:val="none" w:sz="0" w:space="0" w:color="auto"/>
        <w:bottom w:val="none" w:sz="0" w:space="0" w:color="auto"/>
        <w:right w:val="none" w:sz="0" w:space="0" w:color="auto"/>
      </w:divBdr>
    </w:div>
    <w:div w:id="469248085">
      <w:bodyDiv w:val="1"/>
      <w:marLeft w:val="0"/>
      <w:marRight w:val="0"/>
      <w:marTop w:val="0"/>
      <w:marBottom w:val="0"/>
      <w:divBdr>
        <w:top w:val="none" w:sz="0" w:space="0" w:color="auto"/>
        <w:left w:val="none" w:sz="0" w:space="0" w:color="auto"/>
        <w:bottom w:val="none" w:sz="0" w:space="0" w:color="auto"/>
        <w:right w:val="none" w:sz="0" w:space="0" w:color="auto"/>
      </w:divBdr>
    </w:div>
    <w:div w:id="536041107">
      <w:bodyDiv w:val="1"/>
      <w:marLeft w:val="0"/>
      <w:marRight w:val="0"/>
      <w:marTop w:val="0"/>
      <w:marBottom w:val="0"/>
      <w:divBdr>
        <w:top w:val="none" w:sz="0" w:space="0" w:color="auto"/>
        <w:left w:val="none" w:sz="0" w:space="0" w:color="auto"/>
        <w:bottom w:val="none" w:sz="0" w:space="0" w:color="auto"/>
        <w:right w:val="none" w:sz="0" w:space="0" w:color="auto"/>
      </w:divBdr>
    </w:div>
    <w:div w:id="537478034">
      <w:bodyDiv w:val="1"/>
      <w:marLeft w:val="0"/>
      <w:marRight w:val="0"/>
      <w:marTop w:val="0"/>
      <w:marBottom w:val="0"/>
      <w:divBdr>
        <w:top w:val="none" w:sz="0" w:space="0" w:color="auto"/>
        <w:left w:val="none" w:sz="0" w:space="0" w:color="auto"/>
        <w:bottom w:val="none" w:sz="0" w:space="0" w:color="auto"/>
        <w:right w:val="none" w:sz="0" w:space="0" w:color="auto"/>
      </w:divBdr>
    </w:div>
    <w:div w:id="583299471">
      <w:bodyDiv w:val="1"/>
      <w:marLeft w:val="0"/>
      <w:marRight w:val="0"/>
      <w:marTop w:val="0"/>
      <w:marBottom w:val="0"/>
      <w:divBdr>
        <w:top w:val="none" w:sz="0" w:space="0" w:color="auto"/>
        <w:left w:val="none" w:sz="0" w:space="0" w:color="auto"/>
        <w:bottom w:val="none" w:sz="0" w:space="0" w:color="auto"/>
        <w:right w:val="none" w:sz="0" w:space="0" w:color="auto"/>
      </w:divBdr>
      <w:divsChild>
        <w:div w:id="932476033">
          <w:marLeft w:val="0"/>
          <w:marRight w:val="0"/>
          <w:marTop w:val="0"/>
          <w:marBottom w:val="0"/>
          <w:divBdr>
            <w:top w:val="none" w:sz="0" w:space="0" w:color="auto"/>
            <w:left w:val="none" w:sz="0" w:space="0" w:color="auto"/>
            <w:bottom w:val="none" w:sz="0" w:space="0" w:color="auto"/>
            <w:right w:val="none" w:sz="0" w:space="0" w:color="auto"/>
          </w:divBdr>
          <w:divsChild>
            <w:div w:id="723212025">
              <w:marLeft w:val="0"/>
              <w:marRight w:val="0"/>
              <w:marTop w:val="0"/>
              <w:marBottom w:val="0"/>
              <w:divBdr>
                <w:top w:val="none" w:sz="0" w:space="0" w:color="auto"/>
                <w:left w:val="none" w:sz="0" w:space="0" w:color="auto"/>
                <w:bottom w:val="none" w:sz="0" w:space="0" w:color="auto"/>
                <w:right w:val="none" w:sz="0" w:space="0" w:color="auto"/>
              </w:divBdr>
              <w:divsChild>
                <w:div w:id="935670085">
                  <w:marLeft w:val="0"/>
                  <w:marRight w:val="0"/>
                  <w:marTop w:val="0"/>
                  <w:marBottom w:val="0"/>
                  <w:divBdr>
                    <w:top w:val="none" w:sz="0" w:space="0" w:color="auto"/>
                    <w:left w:val="none" w:sz="0" w:space="0" w:color="auto"/>
                    <w:bottom w:val="none" w:sz="0" w:space="0" w:color="auto"/>
                    <w:right w:val="none" w:sz="0" w:space="0" w:color="auto"/>
                  </w:divBdr>
                  <w:divsChild>
                    <w:div w:id="1699743936">
                      <w:marLeft w:val="0"/>
                      <w:marRight w:val="0"/>
                      <w:marTop w:val="0"/>
                      <w:marBottom w:val="0"/>
                      <w:divBdr>
                        <w:top w:val="none" w:sz="0" w:space="0" w:color="auto"/>
                        <w:left w:val="none" w:sz="0" w:space="0" w:color="auto"/>
                        <w:bottom w:val="none" w:sz="0" w:space="0" w:color="auto"/>
                        <w:right w:val="none" w:sz="0" w:space="0" w:color="auto"/>
                      </w:divBdr>
                      <w:divsChild>
                        <w:div w:id="1399286264">
                          <w:marLeft w:val="0"/>
                          <w:marRight w:val="0"/>
                          <w:marTop w:val="0"/>
                          <w:marBottom w:val="0"/>
                          <w:divBdr>
                            <w:top w:val="none" w:sz="0" w:space="0" w:color="auto"/>
                            <w:left w:val="none" w:sz="0" w:space="0" w:color="auto"/>
                            <w:bottom w:val="none" w:sz="0" w:space="0" w:color="auto"/>
                            <w:right w:val="none" w:sz="0" w:space="0" w:color="auto"/>
                          </w:divBdr>
                          <w:divsChild>
                            <w:div w:id="17582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8007">
      <w:bodyDiv w:val="1"/>
      <w:marLeft w:val="0"/>
      <w:marRight w:val="0"/>
      <w:marTop w:val="0"/>
      <w:marBottom w:val="0"/>
      <w:divBdr>
        <w:top w:val="none" w:sz="0" w:space="0" w:color="auto"/>
        <w:left w:val="none" w:sz="0" w:space="0" w:color="auto"/>
        <w:bottom w:val="none" w:sz="0" w:space="0" w:color="auto"/>
        <w:right w:val="none" w:sz="0" w:space="0" w:color="auto"/>
      </w:divBdr>
    </w:div>
    <w:div w:id="703868712">
      <w:bodyDiv w:val="1"/>
      <w:marLeft w:val="0"/>
      <w:marRight w:val="0"/>
      <w:marTop w:val="0"/>
      <w:marBottom w:val="0"/>
      <w:divBdr>
        <w:top w:val="none" w:sz="0" w:space="0" w:color="auto"/>
        <w:left w:val="none" w:sz="0" w:space="0" w:color="auto"/>
        <w:bottom w:val="none" w:sz="0" w:space="0" w:color="auto"/>
        <w:right w:val="none" w:sz="0" w:space="0" w:color="auto"/>
      </w:divBdr>
    </w:div>
    <w:div w:id="717439142">
      <w:bodyDiv w:val="1"/>
      <w:marLeft w:val="0"/>
      <w:marRight w:val="0"/>
      <w:marTop w:val="0"/>
      <w:marBottom w:val="0"/>
      <w:divBdr>
        <w:top w:val="none" w:sz="0" w:space="0" w:color="auto"/>
        <w:left w:val="none" w:sz="0" w:space="0" w:color="auto"/>
        <w:bottom w:val="none" w:sz="0" w:space="0" w:color="auto"/>
        <w:right w:val="none" w:sz="0" w:space="0" w:color="auto"/>
      </w:divBdr>
    </w:div>
    <w:div w:id="749274954">
      <w:bodyDiv w:val="1"/>
      <w:marLeft w:val="0"/>
      <w:marRight w:val="0"/>
      <w:marTop w:val="0"/>
      <w:marBottom w:val="0"/>
      <w:divBdr>
        <w:top w:val="none" w:sz="0" w:space="0" w:color="auto"/>
        <w:left w:val="none" w:sz="0" w:space="0" w:color="auto"/>
        <w:bottom w:val="none" w:sz="0" w:space="0" w:color="auto"/>
        <w:right w:val="none" w:sz="0" w:space="0" w:color="auto"/>
      </w:divBdr>
    </w:div>
    <w:div w:id="792404528">
      <w:bodyDiv w:val="1"/>
      <w:marLeft w:val="0"/>
      <w:marRight w:val="0"/>
      <w:marTop w:val="0"/>
      <w:marBottom w:val="0"/>
      <w:divBdr>
        <w:top w:val="none" w:sz="0" w:space="0" w:color="auto"/>
        <w:left w:val="none" w:sz="0" w:space="0" w:color="auto"/>
        <w:bottom w:val="none" w:sz="0" w:space="0" w:color="auto"/>
        <w:right w:val="none" w:sz="0" w:space="0" w:color="auto"/>
      </w:divBdr>
    </w:div>
    <w:div w:id="819808002">
      <w:bodyDiv w:val="1"/>
      <w:marLeft w:val="0"/>
      <w:marRight w:val="0"/>
      <w:marTop w:val="0"/>
      <w:marBottom w:val="0"/>
      <w:divBdr>
        <w:top w:val="none" w:sz="0" w:space="0" w:color="auto"/>
        <w:left w:val="none" w:sz="0" w:space="0" w:color="auto"/>
        <w:bottom w:val="none" w:sz="0" w:space="0" w:color="auto"/>
        <w:right w:val="none" w:sz="0" w:space="0" w:color="auto"/>
      </w:divBdr>
    </w:div>
    <w:div w:id="865296071">
      <w:bodyDiv w:val="1"/>
      <w:marLeft w:val="0"/>
      <w:marRight w:val="0"/>
      <w:marTop w:val="0"/>
      <w:marBottom w:val="0"/>
      <w:divBdr>
        <w:top w:val="none" w:sz="0" w:space="0" w:color="auto"/>
        <w:left w:val="none" w:sz="0" w:space="0" w:color="auto"/>
        <w:bottom w:val="none" w:sz="0" w:space="0" w:color="auto"/>
        <w:right w:val="none" w:sz="0" w:space="0" w:color="auto"/>
      </w:divBdr>
      <w:divsChild>
        <w:div w:id="1434012345">
          <w:marLeft w:val="0"/>
          <w:marRight w:val="0"/>
          <w:marTop w:val="0"/>
          <w:marBottom w:val="0"/>
          <w:divBdr>
            <w:top w:val="none" w:sz="0" w:space="0" w:color="auto"/>
            <w:left w:val="none" w:sz="0" w:space="0" w:color="auto"/>
            <w:bottom w:val="none" w:sz="0" w:space="0" w:color="auto"/>
            <w:right w:val="none" w:sz="0" w:space="0" w:color="auto"/>
          </w:divBdr>
          <w:divsChild>
            <w:div w:id="1879127559">
              <w:marLeft w:val="0"/>
              <w:marRight w:val="0"/>
              <w:marTop w:val="0"/>
              <w:marBottom w:val="0"/>
              <w:divBdr>
                <w:top w:val="none" w:sz="0" w:space="0" w:color="auto"/>
                <w:left w:val="none" w:sz="0" w:space="0" w:color="auto"/>
                <w:bottom w:val="none" w:sz="0" w:space="0" w:color="auto"/>
                <w:right w:val="none" w:sz="0" w:space="0" w:color="auto"/>
              </w:divBdr>
              <w:divsChild>
                <w:div w:id="236328130">
                  <w:marLeft w:val="0"/>
                  <w:marRight w:val="0"/>
                  <w:marTop w:val="120"/>
                  <w:marBottom w:val="0"/>
                  <w:divBdr>
                    <w:top w:val="none" w:sz="0" w:space="0" w:color="auto"/>
                    <w:left w:val="none" w:sz="0" w:space="0" w:color="auto"/>
                    <w:bottom w:val="none" w:sz="0" w:space="0" w:color="auto"/>
                    <w:right w:val="none" w:sz="0" w:space="0" w:color="auto"/>
                  </w:divBdr>
                  <w:divsChild>
                    <w:div w:id="1326980962">
                      <w:marLeft w:val="0"/>
                      <w:marRight w:val="0"/>
                      <w:marTop w:val="0"/>
                      <w:marBottom w:val="0"/>
                      <w:divBdr>
                        <w:top w:val="none" w:sz="0" w:space="0" w:color="auto"/>
                        <w:left w:val="none" w:sz="0" w:space="0" w:color="auto"/>
                        <w:bottom w:val="none" w:sz="0" w:space="0" w:color="auto"/>
                        <w:right w:val="none" w:sz="0" w:space="0" w:color="auto"/>
                      </w:divBdr>
                      <w:divsChild>
                        <w:div w:id="33877651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75240911">
      <w:bodyDiv w:val="1"/>
      <w:marLeft w:val="0"/>
      <w:marRight w:val="0"/>
      <w:marTop w:val="0"/>
      <w:marBottom w:val="0"/>
      <w:divBdr>
        <w:top w:val="none" w:sz="0" w:space="0" w:color="auto"/>
        <w:left w:val="none" w:sz="0" w:space="0" w:color="auto"/>
        <w:bottom w:val="none" w:sz="0" w:space="0" w:color="auto"/>
        <w:right w:val="none" w:sz="0" w:space="0" w:color="auto"/>
      </w:divBdr>
      <w:divsChild>
        <w:div w:id="595408394">
          <w:marLeft w:val="0"/>
          <w:marRight w:val="0"/>
          <w:marTop w:val="68"/>
          <w:marBottom w:val="68"/>
          <w:divBdr>
            <w:top w:val="none" w:sz="0" w:space="0" w:color="auto"/>
            <w:left w:val="none" w:sz="0" w:space="0" w:color="auto"/>
            <w:bottom w:val="none" w:sz="0" w:space="0" w:color="auto"/>
            <w:right w:val="none" w:sz="0" w:space="0" w:color="auto"/>
          </w:divBdr>
          <w:divsChild>
            <w:div w:id="1685937229">
              <w:marLeft w:val="0"/>
              <w:marRight w:val="0"/>
              <w:marTop w:val="0"/>
              <w:marBottom w:val="0"/>
              <w:divBdr>
                <w:top w:val="none" w:sz="0" w:space="0" w:color="auto"/>
                <w:left w:val="single" w:sz="6" w:space="0" w:color="BEBEBE"/>
                <w:bottom w:val="single" w:sz="6" w:space="0" w:color="BEBEBE"/>
                <w:right w:val="single" w:sz="6" w:space="0" w:color="BEBEBE"/>
              </w:divBdr>
              <w:divsChild>
                <w:div w:id="1119101723">
                  <w:marLeft w:val="0"/>
                  <w:marRight w:val="0"/>
                  <w:marTop w:val="0"/>
                  <w:marBottom w:val="0"/>
                  <w:divBdr>
                    <w:top w:val="none" w:sz="0" w:space="0" w:color="auto"/>
                    <w:left w:val="none" w:sz="0" w:space="0" w:color="auto"/>
                    <w:bottom w:val="none" w:sz="0" w:space="0" w:color="auto"/>
                    <w:right w:val="none" w:sz="0" w:space="0" w:color="auto"/>
                  </w:divBdr>
                  <w:divsChild>
                    <w:div w:id="389042197">
                      <w:marLeft w:val="0"/>
                      <w:marRight w:val="0"/>
                      <w:marTop w:val="0"/>
                      <w:marBottom w:val="136"/>
                      <w:divBdr>
                        <w:top w:val="none" w:sz="0" w:space="0" w:color="auto"/>
                        <w:left w:val="none" w:sz="0" w:space="0" w:color="auto"/>
                        <w:bottom w:val="none" w:sz="0" w:space="0" w:color="auto"/>
                        <w:right w:val="none" w:sz="0" w:space="0" w:color="auto"/>
                      </w:divBdr>
                      <w:divsChild>
                        <w:div w:id="170030883">
                          <w:marLeft w:val="0"/>
                          <w:marRight w:val="0"/>
                          <w:marTop w:val="0"/>
                          <w:marBottom w:val="0"/>
                          <w:divBdr>
                            <w:top w:val="none" w:sz="0" w:space="0" w:color="auto"/>
                            <w:left w:val="none" w:sz="0" w:space="0" w:color="auto"/>
                            <w:bottom w:val="none" w:sz="0" w:space="0" w:color="auto"/>
                            <w:right w:val="none" w:sz="0" w:space="0" w:color="auto"/>
                          </w:divBdr>
                          <w:divsChild>
                            <w:div w:id="1255553277">
                              <w:marLeft w:val="0"/>
                              <w:marRight w:val="0"/>
                              <w:marTop w:val="0"/>
                              <w:marBottom w:val="0"/>
                              <w:divBdr>
                                <w:top w:val="none" w:sz="0" w:space="0" w:color="auto"/>
                                <w:left w:val="none" w:sz="0" w:space="0" w:color="auto"/>
                                <w:bottom w:val="none" w:sz="0" w:space="0" w:color="auto"/>
                                <w:right w:val="none" w:sz="0" w:space="0" w:color="auto"/>
                              </w:divBdr>
                            </w:div>
                            <w:div w:id="17192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74358">
      <w:bodyDiv w:val="1"/>
      <w:marLeft w:val="0"/>
      <w:marRight w:val="0"/>
      <w:marTop w:val="0"/>
      <w:marBottom w:val="0"/>
      <w:divBdr>
        <w:top w:val="none" w:sz="0" w:space="0" w:color="auto"/>
        <w:left w:val="none" w:sz="0" w:space="0" w:color="auto"/>
        <w:bottom w:val="none" w:sz="0" w:space="0" w:color="auto"/>
        <w:right w:val="none" w:sz="0" w:space="0" w:color="auto"/>
      </w:divBdr>
      <w:divsChild>
        <w:div w:id="1681540052">
          <w:marLeft w:val="0"/>
          <w:marRight w:val="0"/>
          <w:marTop w:val="0"/>
          <w:marBottom w:val="0"/>
          <w:divBdr>
            <w:top w:val="none" w:sz="0" w:space="0" w:color="auto"/>
            <w:left w:val="none" w:sz="0" w:space="0" w:color="auto"/>
            <w:bottom w:val="none" w:sz="0" w:space="0" w:color="auto"/>
            <w:right w:val="none" w:sz="0" w:space="0" w:color="auto"/>
          </w:divBdr>
          <w:divsChild>
            <w:div w:id="1280182502">
              <w:marLeft w:val="0"/>
              <w:marRight w:val="0"/>
              <w:marTop w:val="0"/>
              <w:marBottom w:val="0"/>
              <w:divBdr>
                <w:top w:val="none" w:sz="0" w:space="0" w:color="auto"/>
                <w:left w:val="none" w:sz="0" w:space="0" w:color="auto"/>
                <w:bottom w:val="none" w:sz="0" w:space="0" w:color="auto"/>
                <w:right w:val="none" w:sz="0" w:space="0" w:color="auto"/>
              </w:divBdr>
              <w:divsChild>
                <w:div w:id="99836149">
                  <w:marLeft w:val="0"/>
                  <w:marRight w:val="0"/>
                  <w:marTop w:val="0"/>
                  <w:marBottom w:val="0"/>
                  <w:divBdr>
                    <w:top w:val="none" w:sz="0" w:space="0" w:color="auto"/>
                    <w:left w:val="none" w:sz="0" w:space="0" w:color="auto"/>
                    <w:bottom w:val="none" w:sz="0" w:space="0" w:color="auto"/>
                    <w:right w:val="none" w:sz="0" w:space="0" w:color="auto"/>
                  </w:divBdr>
                  <w:divsChild>
                    <w:div w:id="1243107787">
                      <w:marLeft w:val="0"/>
                      <w:marRight w:val="0"/>
                      <w:marTop w:val="0"/>
                      <w:marBottom w:val="0"/>
                      <w:divBdr>
                        <w:top w:val="none" w:sz="0" w:space="0" w:color="auto"/>
                        <w:left w:val="none" w:sz="0" w:space="0" w:color="auto"/>
                        <w:bottom w:val="none" w:sz="0" w:space="0" w:color="auto"/>
                        <w:right w:val="none" w:sz="0" w:space="0" w:color="auto"/>
                      </w:divBdr>
                      <w:divsChild>
                        <w:div w:id="1241713530">
                          <w:marLeft w:val="0"/>
                          <w:marRight w:val="0"/>
                          <w:marTop w:val="0"/>
                          <w:marBottom w:val="0"/>
                          <w:divBdr>
                            <w:top w:val="none" w:sz="0" w:space="0" w:color="auto"/>
                            <w:left w:val="none" w:sz="0" w:space="0" w:color="auto"/>
                            <w:bottom w:val="none" w:sz="0" w:space="0" w:color="auto"/>
                            <w:right w:val="none" w:sz="0" w:space="0" w:color="auto"/>
                          </w:divBdr>
                          <w:divsChild>
                            <w:div w:id="19890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42961">
      <w:bodyDiv w:val="1"/>
      <w:marLeft w:val="0"/>
      <w:marRight w:val="0"/>
      <w:marTop w:val="0"/>
      <w:marBottom w:val="0"/>
      <w:divBdr>
        <w:top w:val="none" w:sz="0" w:space="0" w:color="auto"/>
        <w:left w:val="none" w:sz="0" w:space="0" w:color="auto"/>
        <w:bottom w:val="none" w:sz="0" w:space="0" w:color="auto"/>
        <w:right w:val="none" w:sz="0" w:space="0" w:color="auto"/>
      </w:divBdr>
    </w:div>
    <w:div w:id="975527800">
      <w:bodyDiv w:val="1"/>
      <w:marLeft w:val="0"/>
      <w:marRight w:val="0"/>
      <w:marTop w:val="0"/>
      <w:marBottom w:val="0"/>
      <w:divBdr>
        <w:top w:val="none" w:sz="0" w:space="0" w:color="auto"/>
        <w:left w:val="none" w:sz="0" w:space="0" w:color="auto"/>
        <w:bottom w:val="none" w:sz="0" w:space="0" w:color="auto"/>
        <w:right w:val="none" w:sz="0" w:space="0" w:color="auto"/>
      </w:divBdr>
      <w:divsChild>
        <w:div w:id="121310410">
          <w:marLeft w:val="0"/>
          <w:marRight w:val="0"/>
          <w:marTop w:val="0"/>
          <w:marBottom w:val="0"/>
          <w:divBdr>
            <w:top w:val="none" w:sz="0" w:space="0" w:color="auto"/>
            <w:left w:val="none" w:sz="0" w:space="0" w:color="auto"/>
            <w:bottom w:val="none" w:sz="0" w:space="0" w:color="auto"/>
            <w:right w:val="none" w:sz="0" w:space="0" w:color="auto"/>
          </w:divBdr>
          <w:divsChild>
            <w:div w:id="751043504">
              <w:marLeft w:val="0"/>
              <w:marRight w:val="0"/>
              <w:marTop w:val="0"/>
              <w:marBottom w:val="0"/>
              <w:divBdr>
                <w:top w:val="none" w:sz="0" w:space="0" w:color="auto"/>
                <w:left w:val="none" w:sz="0" w:space="0" w:color="auto"/>
                <w:bottom w:val="none" w:sz="0" w:space="0" w:color="auto"/>
                <w:right w:val="none" w:sz="0" w:space="0" w:color="auto"/>
              </w:divBdr>
              <w:divsChild>
                <w:div w:id="526873265">
                  <w:marLeft w:val="0"/>
                  <w:marRight w:val="0"/>
                  <w:marTop w:val="0"/>
                  <w:marBottom w:val="0"/>
                  <w:divBdr>
                    <w:top w:val="none" w:sz="0" w:space="0" w:color="auto"/>
                    <w:left w:val="single" w:sz="6" w:space="0" w:color="082233"/>
                    <w:bottom w:val="none" w:sz="0" w:space="0" w:color="auto"/>
                    <w:right w:val="single" w:sz="6" w:space="0" w:color="082233"/>
                  </w:divBdr>
                  <w:divsChild>
                    <w:div w:id="726882027">
                      <w:marLeft w:val="0"/>
                      <w:marRight w:val="0"/>
                      <w:marTop w:val="0"/>
                      <w:marBottom w:val="0"/>
                      <w:divBdr>
                        <w:top w:val="none" w:sz="0" w:space="0" w:color="auto"/>
                        <w:left w:val="none" w:sz="0" w:space="0" w:color="auto"/>
                        <w:bottom w:val="none" w:sz="0" w:space="0" w:color="auto"/>
                        <w:right w:val="single" w:sz="6" w:space="0" w:color="DCDCDC"/>
                      </w:divBdr>
                      <w:divsChild>
                        <w:div w:id="2030599988">
                          <w:marLeft w:val="75"/>
                          <w:marRight w:val="75"/>
                          <w:marTop w:val="0"/>
                          <w:marBottom w:val="0"/>
                          <w:divBdr>
                            <w:top w:val="none" w:sz="0" w:space="0" w:color="auto"/>
                            <w:left w:val="none" w:sz="0" w:space="0" w:color="auto"/>
                            <w:bottom w:val="none" w:sz="0" w:space="0" w:color="auto"/>
                            <w:right w:val="none" w:sz="0" w:space="0" w:color="auto"/>
                          </w:divBdr>
                          <w:divsChild>
                            <w:div w:id="2042320335">
                              <w:marLeft w:val="0"/>
                              <w:marRight w:val="0"/>
                              <w:marTop w:val="0"/>
                              <w:marBottom w:val="0"/>
                              <w:divBdr>
                                <w:top w:val="none" w:sz="0" w:space="0" w:color="auto"/>
                                <w:left w:val="none" w:sz="0" w:space="0" w:color="auto"/>
                                <w:bottom w:val="none" w:sz="0" w:space="0" w:color="auto"/>
                                <w:right w:val="none" w:sz="0" w:space="0" w:color="auto"/>
                              </w:divBdr>
                              <w:divsChild>
                                <w:div w:id="2006979081">
                                  <w:marLeft w:val="0"/>
                                  <w:marRight w:val="0"/>
                                  <w:marTop w:val="0"/>
                                  <w:marBottom w:val="0"/>
                                  <w:divBdr>
                                    <w:top w:val="single" w:sz="6" w:space="3" w:color="E9E9E9"/>
                                    <w:left w:val="single" w:sz="6" w:space="3" w:color="E9E9E9"/>
                                    <w:bottom w:val="single" w:sz="6" w:space="3" w:color="E9E9E9"/>
                                    <w:right w:val="single" w:sz="6" w:space="3" w:color="E9E9E9"/>
                                  </w:divBdr>
                                  <w:divsChild>
                                    <w:div w:id="89635998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399704">
      <w:bodyDiv w:val="1"/>
      <w:marLeft w:val="0"/>
      <w:marRight w:val="0"/>
      <w:marTop w:val="0"/>
      <w:marBottom w:val="0"/>
      <w:divBdr>
        <w:top w:val="none" w:sz="0" w:space="0" w:color="auto"/>
        <w:left w:val="none" w:sz="0" w:space="0" w:color="auto"/>
        <w:bottom w:val="none" w:sz="0" w:space="0" w:color="auto"/>
        <w:right w:val="none" w:sz="0" w:space="0" w:color="auto"/>
      </w:divBdr>
    </w:div>
    <w:div w:id="1019354785">
      <w:bodyDiv w:val="1"/>
      <w:marLeft w:val="0"/>
      <w:marRight w:val="0"/>
      <w:marTop w:val="0"/>
      <w:marBottom w:val="0"/>
      <w:divBdr>
        <w:top w:val="none" w:sz="0" w:space="0" w:color="auto"/>
        <w:left w:val="none" w:sz="0" w:space="0" w:color="auto"/>
        <w:bottom w:val="none" w:sz="0" w:space="0" w:color="auto"/>
        <w:right w:val="none" w:sz="0" w:space="0" w:color="auto"/>
      </w:divBdr>
    </w:div>
    <w:div w:id="1037006601">
      <w:bodyDiv w:val="1"/>
      <w:marLeft w:val="0"/>
      <w:marRight w:val="0"/>
      <w:marTop w:val="0"/>
      <w:marBottom w:val="0"/>
      <w:divBdr>
        <w:top w:val="none" w:sz="0" w:space="0" w:color="auto"/>
        <w:left w:val="none" w:sz="0" w:space="0" w:color="auto"/>
        <w:bottom w:val="none" w:sz="0" w:space="0" w:color="auto"/>
        <w:right w:val="none" w:sz="0" w:space="0" w:color="auto"/>
      </w:divBdr>
      <w:divsChild>
        <w:div w:id="940187185">
          <w:marLeft w:val="0"/>
          <w:marRight w:val="0"/>
          <w:marTop w:val="0"/>
          <w:marBottom w:val="0"/>
          <w:divBdr>
            <w:top w:val="none" w:sz="0" w:space="0" w:color="auto"/>
            <w:left w:val="none" w:sz="0" w:space="0" w:color="auto"/>
            <w:bottom w:val="none" w:sz="0" w:space="0" w:color="auto"/>
            <w:right w:val="none" w:sz="0" w:space="0" w:color="auto"/>
          </w:divBdr>
          <w:divsChild>
            <w:div w:id="289631561">
              <w:marLeft w:val="0"/>
              <w:marRight w:val="0"/>
              <w:marTop w:val="0"/>
              <w:marBottom w:val="0"/>
              <w:divBdr>
                <w:top w:val="none" w:sz="0" w:space="0" w:color="auto"/>
                <w:left w:val="none" w:sz="0" w:space="0" w:color="auto"/>
                <w:bottom w:val="none" w:sz="0" w:space="0" w:color="auto"/>
                <w:right w:val="none" w:sz="0" w:space="0" w:color="auto"/>
              </w:divBdr>
              <w:divsChild>
                <w:div w:id="1507482531">
                  <w:marLeft w:val="0"/>
                  <w:marRight w:val="0"/>
                  <w:marTop w:val="120"/>
                  <w:marBottom w:val="0"/>
                  <w:divBdr>
                    <w:top w:val="none" w:sz="0" w:space="0" w:color="auto"/>
                    <w:left w:val="none" w:sz="0" w:space="0" w:color="auto"/>
                    <w:bottom w:val="none" w:sz="0" w:space="0" w:color="auto"/>
                    <w:right w:val="none" w:sz="0" w:space="0" w:color="auto"/>
                  </w:divBdr>
                  <w:divsChild>
                    <w:div w:id="2042583756">
                      <w:marLeft w:val="0"/>
                      <w:marRight w:val="0"/>
                      <w:marTop w:val="0"/>
                      <w:marBottom w:val="0"/>
                      <w:divBdr>
                        <w:top w:val="none" w:sz="0" w:space="0" w:color="auto"/>
                        <w:left w:val="none" w:sz="0" w:space="0" w:color="auto"/>
                        <w:bottom w:val="none" w:sz="0" w:space="0" w:color="auto"/>
                        <w:right w:val="none" w:sz="0" w:space="0" w:color="auto"/>
                      </w:divBdr>
                      <w:divsChild>
                        <w:div w:id="61644526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64450649">
      <w:bodyDiv w:val="1"/>
      <w:marLeft w:val="0"/>
      <w:marRight w:val="0"/>
      <w:marTop w:val="0"/>
      <w:marBottom w:val="0"/>
      <w:divBdr>
        <w:top w:val="none" w:sz="0" w:space="0" w:color="auto"/>
        <w:left w:val="none" w:sz="0" w:space="0" w:color="auto"/>
        <w:bottom w:val="none" w:sz="0" w:space="0" w:color="auto"/>
        <w:right w:val="none" w:sz="0" w:space="0" w:color="auto"/>
      </w:divBdr>
      <w:divsChild>
        <w:div w:id="449861720">
          <w:marLeft w:val="0"/>
          <w:marRight w:val="0"/>
          <w:marTop w:val="0"/>
          <w:marBottom w:val="0"/>
          <w:divBdr>
            <w:top w:val="none" w:sz="0" w:space="0" w:color="auto"/>
            <w:left w:val="none" w:sz="0" w:space="0" w:color="auto"/>
            <w:bottom w:val="none" w:sz="0" w:space="0" w:color="auto"/>
            <w:right w:val="none" w:sz="0" w:space="0" w:color="auto"/>
          </w:divBdr>
          <w:divsChild>
            <w:div w:id="966593667">
              <w:marLeft w:val="0"/>
              <w:marRight w:val="0"/>
              <w:marTop w:val="0"/>
              <w:marBottom w:val="0"/>
              <w:divBdr>
                <w:top w:val="none" w:sz="0" w:space="0" w:color="auto"/>
                <w:left w:val="none" w:sz="0" w:space="0" w:color="auto"/>
                <w:bottom w:val="none" w:sz="0" w:space="0" w:color="auto"/>
                <w:right w:val="none" w:sz="0" w:space="0" w:color="auto"/>
              </w:divBdr>
              <w:divsChild>
                <w:div w:id="1416899578">
                  <w:marLeft w:val="0"/>
                  <w:marRight w:val="0"/>
                  <w:marTop w:val="120"/>
                  <w:marBottom w:val="0"/>
                  <w:divBdr>
                    <w:top w:val="none" w:sz="0" w:space="0" w:color="auto"/>
                    <w:left w:val="none" w:sz="0" w:space="0" w:color="auto"/>
                    <w:bottom w:val="none" w:sz="0" w:space="0" w:color="auto"/>
                    <w:right w:val="none" w:sz="0" w:space="0" w:color="auto"/>
                  </w:divBdr>
                  <w:divsChild>
                    <w:div w:id="554438706">
                      <w:marLeft w:val="0"/>
                      <w:marRight w:val="0"/>
                      <w:marTop w:val="0"/>
                      <w:marBottom w:val="0"/>
                      <w:divBdr>
                        <w:top w:val="none" w:sz="0" w:space="0" w:color="auto"/>
                        <w:left w:val="none" w:sz="0" w:space="0" w:color="auto"/>
                        <w:bottom w:val="none" w:sz="0" w:space="0" w:color="auto"/>
                        <w:right w:val="none" w:sz="0" w:space="0" w:color="auto"/>
                      </w:divBdr>
                      <w:divsChild>
                        <w:div w:id="71207559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91047660">
      <w:bodyDiv w:val="1"/>
      <w:marLeft w:val="0"/>
      <w:marRight w:val="0"/>
      <w:marTop w:val="0"/>
      <w:marBottom w:val="0"/>
      <w:divBdr>
        <w:top w:val="none" w:sz="0" w:space="0" w:color="auto"/>
        <w:left w:val="none" w:sz="0" w:space="0" w:color="auto"/>
        <w:bottom w:val="none" w:sz="0" w:space="0" w:color="auto"/>
        <w:right w:val="none" w:sz="0" w:space="0" w:color="auto"/>
      </w:divBdr>
      <w:divsChild>
        <w:div w:id="492725367">
          <w:marLeft w:val="0"/>
          <w:marRight w:val="0"/>
          <w:marTop w:val="0"/>
          <w:marBottom w:val="0"/>
          <w:divBdr>
            <w:top w:val="none" w:sz="0" w:space="0" w:color="auto"/>
            <w:left w:val="none" w:sz="0" w:space="0" w:color="auto"/>
            <w:bottom w:val="none" w:sz="0" w:space="0" w:color="auto"/>
            <w:right w:val="none" w:sz="0" w:space="0" w:color="auto"/>
          </w:divBdr>
          <w:divsChild>
            <w:div w:id="1520007677">
              <w:marLeft w:val="0"/>
              <w:marRight w:val="0"/>
              <w:marTop w:val="0"/>
              <w:marBottom w:val="0"/>
              <w:divBdr>
                <w:top w:val="none" w:sz="0" w:space="0" w:color="auto"/>
                <w:left w:val="none" w:sz="0" w:space="0" w:color="auto"/>
                <w:bottom w:val="none" w:sz="0" w:space="0" w:color="auto"/>
                <w:right w:val="none" w:sz="0" w:space="0" w:color="auto"/>
              </w:divBdr>
              <w:divsChild>
                <w:div w:id="682980035">
                  <w:marLeft w:val="0"/>
                  <w:marRight w:val="0"/>
                  <w:marTop w:val="0"/>
                  <w:marBottom w:val="0"/>
                  <w:divBdr>
                    <w:top w:val="none" w:sz="0" w:space="0" w:color="auto"/>
                    <w:left w:val="none" w:sz="0" w:space="0" w:color="auto"/>
                    <w:bottom w:val="none" w:sz="0" w:space="0" w:color="auto"/>
                    <w:right w:val="none" w:sz="0" w:space="0" w:color="auto"/>
                  </w:divBdr>
                  <w:divsChild>
                    <w:div w:id="1481772908">
                      <w:marLeft w:val="0"/>
                      <w:marRight w:val="0"/>
                      <w:marTop w:val="0"/>
                      <w:marBottom w:val="0"/>
                      <w:divBdr>
                        <w:top w:val="none" w:sz="0" w:space="0" w:color="auto"/>
                        <w:left w:val="none" w:sz="0" w:space="0" w:color="auto"/>
                        <w:bottom w:val="none" w:sz="0" w:space="0" w:color="auto"/>
                        <w:right w:val="none" w:sz="0" w:space="0" w:color="auto"/>
                      </w:divBdr>
                      <w:divsChild>
                        <w:div w:id="1736391910">
                          <w:marLeft w:val="0"/>
                          <w:marRight w:val="0"/>
                          <w:marTop w:val="0"/>
                          <w:marBottom w:val="0"/>
                          <w:divBdr>
                            <w:top w:val="none" w:sz="0" w:space="0" w:color="auto"/>
                            <w:left w:val="none" w:sz="0" w:space="0" w:color="auto"/>
                            <w:bottom w:val="none" w:sz="0" w:space="0" w:color="auto"/>
                            <w:right w:val="none" w:sz="0" w:space="0" w:color="auto"/>
                          </w:divBdr>
                          <w:divsChild>
                            <w:div w:id="10500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498044">
      <w:bodyDiv w:val="1"/>
      <w:marLeft w:val="0"/>
      <w:marRight w:val="0"/>
      <w:marTop w:val="0"/>
      <w:marBottom w:val="0"/>
      <w:divBdr>
        <w:top w:val="none" w:sz="0" w:space="0" w:color="auto"/>
        <w:left w:val="none" w:sz="0" w:space="0" w:color="auto"/>
        <w:bottom w:val="none" w:sz="0" w:space="0" w:color="auto"/>
        <w:right w:val="none" w:sz="0" w:space="0" w:color="auto"/>
      </w:divBdr>
      <w:divsChild>
        <w:div w:id="1416198848">
          <w:marLeft w:val="0"/>
          <w:marRight w:val="0"/>
          <w:marTop w:val="0"/>
          <w:marBottom w:val="0"/>
          <w:divBdr>
            <w:top w:val="none" w:sz="0" w:space="0" w:color="auto"/>
            <w:left w:val="none" w:sz="0" w:space="0" w:color="auto"/>
            <w:bottom w:val="none" w:sz="0" w:space="0" w:color="auto"/>
            <w:right w:val="single" w:sz="6" w:space="0" w:color="D9D9D9"/>
          </w:divBdr>
          <w:divsChild>
            <w:div w:id="110517667">
              <w:marLeft w:val="0"/>
              <w:marRight w:val="0"/>
              <w:marTop w:val="0"/>
              <w:marBottom w:val="150"/>
              <w:divBdr>
                <w:top w:val="none" w:sz="0" w:space="0" w:color="auto"/>
                <w:left w:val="none" w:sz="0" w:space="0" w:color="auto"/>
                <w:bottom w:val="none" w:sz="0" w:space="0" w:color="auto"/>
                <w:right w:val="none" w:sz="0" w:space="0" w:color="auto"/>
              </w:divBdr>
              <w:divsChild>
                <w:div w:id="2037610968">
                  <w:marLeft w:val="0"/>
                  <w:marRight w:val="0"/>
                  <w:marTop w:val="0"/>
                  <w:marBottom w:val="0"/>
                  <w:divBdr>
                    <w:top w:val="none" w:sz="0" w:space="0" w:color="auto"/>
                    <w:left w:val="single" w:sz="6" w:space="0" w:color="D9D9D9"/>
                    <w:bottom w:val="single" w:sz="6" w:space="0" w:color="D9D9D9"/>
                    <w:right w:val="none" w:sz="0" w:space="0" w:color="auto"/>
                  </w:divBdr>
                  <w:divsChild>
                    <w:div w:id="20282090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121802116">
      <w:bodyDiv w:val="1"/>
      <w:marLeft w:val="0"/>
      <w:marRight w:val="0"/>
      <w:marTop w:val="0"/>
      <w:marBottom w:val="0"/>
      <w:divBdr>
        <w:top w:val="none" w:sz="0" w:space="0" w:color="auto"/>
        <w:left w:val="none" w:sz="0" w:space="0" w:color="auto"/>
        <w:bottom w:val="none" w:sz="0" w:space="0" w:color="auto"/>
        <w:right w:val="none" w:sz="0" w:space="0" w:color="auto"/>
      </w:divBdr>
      <w:divsChild>
        <w:div w:id="1134249714">
          <w:marLeft w:val="0"/>
          <w:marRight w:val="0"/>
          <w:marTop w:val="0"/>
          <w:marBottom w:val="0"/>
          <w:divBdr>
            <w:top w:val="none" w:sz="0" w:space="0" w:color="auto"/>
            <w:left w:val="none" w:sz="0" w:space="0" w:color="auto"/>
            <w:bottom w:val="none" w:sz="0" w:space="0" w:color="auto"/>
            <w:right w:val="none" w:sz="0" w:space="0" w:color="auto"/>
          </w:divBdr>
          <w:divsChild>
            <w:div w:id="719524633">
              <w:marLeft w:val="0"/>
              <w:marRight w:val="0"/>
              <w:marTop w:val="0"/>
              <w:marBottom w:val="0"/>
              <w:divBdr>
                <w:top w:val="none" w:sz="0" w:space="0" w:color="auto"/>
                <w:left w:val="none" w:sz="0" w:space="0" w:color="auto"/>
                <w:bottom w:val="none" w:sz="0" w:space="0" w:color="auto"/>
                <w:right w:val="none" w:sz="0" w:space="0" w:color="auto"/>
              </w:divBdr>
              <w:divsChild>
                <w:div w:id="75398314">
                  <w:marLeft w:val="0"/>
                  <w:marRight w:val="0"/>
                  <w:marTop w:val="120"/>
                  <w:marBottom w:val="0"/>
                  <w:divBdr>
                    <w:top w:val="none" w:sz="0" w:space="0" w:color="auto"/>
                    <w:left w:val="none" w:sz="0" w:space="0" w:color="auto"/>
                    <w:bottom w:val="none" w:sz="0" w:space="0" w:color="auto"/>
                    <w:right w:val="none" w:sz="0" w:space="0" w:color="auto"/>
                  </w:divBdr>
                  <w:divsChild>
                    <w:div w:id="1671565453">
                      <w:marLeft w:val="0"/>
                      <w:marRight w:val="0"/>
                      <w:marTop w:val="0"/>
                      <w:marBottom w:val="0"/>
                      <w:divBdr>
                        <w:top w:val="none" w:sz="0" w:space="0" w:color="auto"/>
                        <w:left w:val="none" w:sz="0" w:space="0" w:color="auto"/>
                        <w:bottom w:val="none" w:sz="0" w:space="0" w:color="auto"/>
                        <w:right w:val="none" w:sz="0" w:space="0" w:color="auto"/>
                      </w:divBdr>
                      <w:divsChild>
                        <w:div w:id="92635380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9664810">
      <w:bodyDiv w:val="1"/>
      <w:marLeft w:val="0"/>
      <w:marRight w:val="0"/>
      <w:marTop w:val="0"/>
      <w:marBottom w:val="0"/>
      <w:divBdr>
        <w:top w:val="none" w:sz="0" w:space="0" w:color="auto"/>
        <w:left w:val="none" w:sz="0" w:space="0" w:color="auto"/>
        <w:bottom w:val="none" w:sz="0" w:space="0" w:color="auto"/>
        <w:right w:val="none" w:sz="0" w:space="0" w:color="auto"/>
      </w:divBdr>
    </w:div>
    <w:div w:id="1291133076">
      <w:bodyDiv w:val="1"/>
      <w:marLeft w:val="0"/>
      <w:marRight w:val="0"/>
      <w:marTop w:val="0"/>
      <w:marBottom w:val="0"/>
      <w:divBdr>
        <w:top w:val="none" w:sz="0" w:space="0" w:color="auto"/>
        <w:left w:val="none" w:sz="0" w:space="0" w:color="auto"/>
        <w:bottom w:val="none" w:sz="0" w:space="0" w:color="auto"/>
        <w:right w:val="none" w:sz="0" w:space="0" w:color="auto"/>
      </w:divBdr>
    </w:div>
    <w:div w:id="1363243218">
      <w:bodyDiv w:val="1"/>
      <w:marLeft w:val="0"/>
      <w:marRight w:val="0"/>
      <w:marTop w:val="0"/>
      <w:marBottom w:val="0"/>
      <w:divBdr>
        <w:top w:val="none" w:sz="0" w:space="0" w:color="auto"/>
        <w:left w:val="none" w:sz="0" w:space="0" w:color="auto"/>
        <w:bottom w:val="none" w:sz="0" w:space="0" w:color="auto"/>
        <w:right w:val="none" w:sz="0" w:space="0" w:color="auto"/>
      </w:divBdr>
    </w:div>
    <w:div w:id="1366952048">
      <w:bodyDiv w:val="1"/>
      <w:marLeft w:val="0"/>
      <w:marRight w:val="0"/>
      <w:marTop w:val="0"/>
      <w:marBottom w:val="0"/>
      <w:divBdr>
        <w:top w:val="none" w:sz="0" w:space="0" w:color="auto"/>
        <w:left w:val="none" w:sz="0" w:space="0" w:color="auto"/>
        <w:bottom w:val="none" w:sz="0" w:space="0" w:color="auto"/>
        <w:right w:val="none" w:sz="0" w:space="0" w:color="auto"/>
      </w:divBdr>
      <w:divsChild>
        <w:div w:id="362941770">
          <w:marLeft w:val="0"/>
          <w:marRight w:val="0"/>
          <w:marTop w:val="0"/>
          <w:marBottom w:val="0"/>
          <w:divBdr>
            <w:top w:val="none" w:sz="0" w:space="0" w:color="auto"/>
            <w:left w:val="none" w:sz="0" w:space="0" w:color="auto"/>
            <w:bottom w:val="none" w:sz="0" w:space="0" w:color="auto"/>
            <w:right w:val="single" w:sz="6" w:space="0" w:color="D9D9D9"/>
          </w:divBdr>
          <w:divsChild>
            <w:div w:id="1851870804">
              <w:marLeft w:val="0"/>
              <w:marRight w:val="0"/>
              <w:marTop w:val="0"/>
              <w:marBottom w:val="150"/>
              <w:divBdr>
                <w:top w:val="none" w:sz="0" w:space="0" w:color="auto"/>
                <w:left w:val="none" w:sz="0" w:space="0" w:color="auto"/>
                <w:bottom w:val="none" w:sz="0" w:space="0" w:color="auto"/>
                <w:right w:val="none" w:sz="0" w:space="0" w:color="auto"/>
              </w:divBdr>
              <w:divsChild>
                <w:div w:id="778069923">
                  <w:marLeft w:val="0"/>
                  <w:marRight w:val="0"/>
                  <w:marTop w:val="0"/>
                  <w:marBottom w:val="0"/>
                  <w:divBdr>
                    <w:top w:val="none" w:sz="0" w:space="0" w:color="auto"/>
                    <w:left w:val="single" w:sz="6" w:space="0" w:color="D9D9D9"/>
                    <w:bottom w:val="single" w:sz="6" w:space="0" w:color="D9D9D9"/>
                    <w:right w:val="none" w:sz="0" w:space="0" w:color="auto"/>
                  </w:divBdr>
                  <w:divsChild>
                    <w:div w:id="20187037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416827545">
      <w:bodyDiv w:val="1"/>
      <w:marLeft w:val="0"/>
      <w:marRight w:val="0"/>
      <w:marTop w:val="0"/>
      <w:marBottom w:val="0"/>
      <w:divBdr>
        <w:top w:val="none" w:sz="0" w:space="0" w:color="auto"/>
        <w:left w:val="none" w:sz="0" w:space="0" w:color="auto"/>
        <w:bottom w:val="none" w:sz="0" w:space="0" w:color="auto"/>
        <w:right w:val="none" w:sz="0" w:space="0" w:color="auto"/>
      </w:divBdr>
      <w:divsChild>
        <w:div w:id="197012225">
          <w:marLeft w:val="0"/>
          <w:marRight w:val="0"/>
          <w:marTop w:val="0"/>
          <w:marBottom w:val="0"/>
          <w:divBdr>
            <w:top w:val="none" w:sz="0" w:space="0" w:color="auto"/>
            <w:left w:val="none" w:sz="0" w:space="0" w:color="auto"/>
            <w:bottom w:val="none" w:sz="0" w:space="0" w:color="auto"/>
            <w:right w:val="none" w:sz="0" w:space="0" w:color="auto"/>
          </w:divBdr>
          <w:divsChild>
            <w:div w:id="1156720660">
              <w:marLeft w:val="0"/>
              <w:marRight w:val="0"/>
              <w:marTop w:val="0"/>
              <w:marBottom w:val="0"/>
              <w:divBdr>
                <w:top w:val="none" w:sz="0" w:space="0" w:color="auto"/>
                <w:left w:val="none" w:sz="0" w:space="0" w:color="auto"/>
                <w:bottom w:val="none" w:sz="0" w:space="0" w:color="auto"/>
                <w:right w:val="none" w:sz="0" w:space="0" w:color="auto"/>
              </w:divBdr>
              <w:divsChild>
                <w:div w:id="838958984">
                  <w:marLeft w:val="0"/>
                  <w:marRight w:val="0"/>
                  <w:marTop w:val="120"/>
                  <w:marBottom w:val="0"/>
                  <w:divBdr>
                    <w:top w:val="none" w:sz="0" w:space="0" w:color="auto"/>
                    <w:left w:val="none" w:sz="0" w:space="0" w:color="auto"/>
                    <w:bottom w:val="none" w:sz="0" w:space="0" w:color="auto"/>
                    <w:right w:val="none" w:sz="0" w:space="0" w:color="auto"/>
                  </w:divBdr>
                  <w:divsChild>
                    <w:div w:id="1346396208">
                      <w:marLeft w:val="0"/>
                      <w:marRight w:val="0"/>
                      <w:marTop w:val="0"/>
                      <w:marBottom w:val="0"/>
                      <w:divBdr>
                        <w:top w:val="none" w:sz="0" w:space="0" w:color="auto"/>
                        <w:left w:val="none" w:sz="0" w:space="0" w:color="auto"/>
                        <w:bottom w:val="none" w:sz="0" w:space="0" w:color="auto"/>
                        <w:right w:val="none" w:sz="0" w:space="0" w:color="auto"/>
                      </w:divBdr>
                      <w:divsChild>
                        <w:div w:id="41995598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70592950">
      <w:bodyDiv w:val="1"/>
      <w:marLeft w:val="0"/>
      <w:marRight w:val="0"/>
      <w:marTop w:val="0"/>
      <w:marBottom w:val="0"/>
      <w:divBdr>
        <w:top w:val="none" w:sz="0" w:space="0" w:color="auto"/>
        <w:left w:val="none" w:sz="0" w:space="0" w:color="auto"/>
        <w:bottom w:val="none" w:sz="0" w:space="0" w:color="auto"/>
        <w:right w:val="none" w:sz="0" w:space="0" w:color="auto"/>
      </w:divBdr>
    </w:div>
    <w:div w:id="1495878456">
      <w:bodyDiv w:val="1"/>
      <w:marLeft w:val="0"/>
      <w:marRight w:val="0"/>
      <w:marTop w:val="0"/>
      <w:marBottom w:val="0"/>
      <w:divBdr>
        <w:top w:val="none" w:sz="0" w:space="0" w:color="auto"/>
        <w:left w:val="none" w:sz="0" w:space="0" w:color="auto"/>
        <w:bottom w:val="none" w:sz="0" w:space="0" w:color="auto"/>
        <w:right w:val="none" w:sz="0" w:space="0" w:color="auto"/>
      </w:divBdr>
      <w:divsChild>
        <w:div w:id="1439788449">
          <w:marLeft w:val="0"/>
          <w:marRight w:val="0"/>
          <w:marTop w:val="0"/>
          <w:marBottom w:val="0"/>
          <w:divBdr>
            <w:top w:val="none" w:sz="0" w:space="0" w:color="auto"/>
            <w:left w:val="none" w:sz="0" w:space="0" w:color="auto"/>
            <w:bottom w:val="none" w:sz="0" w:space="0" w:color="auto"/>
            <w:right w:val="none" w:sz="0" w:space="0" w:color="auto"/>
          </w:divBdr>
          <w:divsChild>
            <w:div w:id="674572303">
              <w:marLeft w:val="0"/>
              <w:marRight w:val="0"/>
              <w:marTop w:val="90"/>
              <w:marBottom w:val="0"/>
              <w:divBdr>
                <w:top w:val="single" w:sz="6" w:space="0" w:color="4F95C6"/>
                <w:left w:val="single" w:sz="6" w:space="0" w:color="4F95C6"/>
                <w:bottom w:val="single" w:sz="6" w:space="0" w:color="4F95C6"/>
                <w:right w:val="single" w:sz="6" w:space="0" w:color="4F95C6"/>
              </w:divBdr>
            </w:div>
          </w:divsChild>
        </w:div>
      </w:divsChild>
    </w:div>
    <w:div w:id="1538933916">
      <w:bodyDiv w:val="1"/>
      <w:marLeft w:val="0"/>
      <w:marRight w:val="0"/>
      <w:marTop w:val="0"/>
      <w:marBottom w:val="0"/>
      <w:divBdr>
        <w:top w:val="none" w:sz="0" w:space="0" w:color="auto"/>
        <w:left w:val="none" w:sz="0" w:space="0" w:color="auto"/>
        <w:bottom w:val="none" w:sz="0" w:space="0" w:color="auto"/>
        <w:right w:val="none" w:sz="0" w:space="0" w:color="auto"/>
      </w:divBdr>
    </w:div>
    <w:div w:id="1539589797">
      <w:bodyDiv w:val="1"/>
      <w:marLeft w:val="0"/>
      <w:marRight w:val="0"/>
      <w:marTop w:val="0"/>
      <w:marBottom w:val="0"/>
      <w:divBdr>
        <w:top w:val="none" w:sz="0" w:space="0" w:color="auto"/>
        <w:left w:val="none" w:sz="0" w:space="0" w:color="auto"/>
        <w:bottom w:val="none" w:sz="0" w:space="0" w:color="auto"/>
        <w:right w:val="none" w:sz="0" w:space="0" w:color="auto"/>
      </w:divBdr>
      <w:divsChild>
        <w:div w:id="465511986">
          <w:marLeft w:val="0"/>
          <w:marRight w:val="0"/>
          <w:marTop w:val="0"/>
          <w:marBottom w:val="0"/>
          <w:divBdr>
            <w:top w:val="none" w:sz="0" w:space="0" w:color="auto"/>
            <w:left w:val="none" w:sz="0" w:space="0" w:color="auto"/>
            <w:bottom w:val="none" w:sz="0" w:space="0" w:color="auto"/>
            <w:right w:val="none" w:sz="0" w:space="0" w:color="auto"/>
          </w:divBdr>
          <w:divsChild>
            <w:div w:id="137577784">
              <w:marLeft w:val="0"/>
              <w:marRight w:val="0"/>
              <w:marTop w:val="0"/>
              <w:marBottom w:val="0"/>
              <w:divBdr>
                <w:top w:val="none" w:sz="0" w:space="0" w:color="auto"/>
                <w:left w:val="none" w:sz="0" w:space="0" w:color="auto"/>
                <w:bottom w:val="none" w:sz="0" w:space="0" w:color="auto"/>
                <w:right w:val="none" w:sz="0" w:space="0" w:color="auto"/>
              </w:divBdr>
              <w:divsChild>
                <w:div w:id="1355963005">
                  <w:marLeft w:val="0"/>
                  <w:marRight w:val="0"/>
                  <w:marTop w:val="109"/>
                  <w:marBottom w:val="0"/>
                  <w:divBdr>
                    <w:top w:val="none" w:sz="0" w:space="0" w:color="auto"/>
                    <w:left w:val="none" w:sz="0" w:space="0" w:color="auto"/>
                    <w:bottom w:val="none" w:sz="0" w:space="0" w:color="auto"/>
                    <w:right w:val="none" w:sz="0" w:space="0" w:color="auto"/>
                  </w:divBdr>
                  <w:divsChild>
                    <w:div w:id="1162769922">
                      <w:marLeft w:val="0"/>
                      <w:marRight w:val="0"/>
                      <w:marTop w:val="0"/>
                      <w:marBottom w:val="0"/>
                      <w:divBdr>
                        <w:top w:val="none" w:sz="0" w:space="0" w:color="auto"/>
                        <w:left w:val="none" w:sz="0" w:space="0" w:color="auto"/>
                        <w:bottom w:val="none" w:sz="0" w:space="0" w:color="auto"/>
                        <w:right w:val="none" w:sz="0" w:space="0" w:color="auto"/>
                      </w:divBdr>
                      <w:divsChild>
                        <w:div w:id="1396005265">
                          <w:marLeft w:val="109"/>
                          <w:marRight w:val="109"/>
                          <w:marTop w:val="109"/>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1544369896">
      <w:bodyDiv w:val="1"/>
      <w:marLeft w:val="0"/>
      <w:marRight w:val="0"/>
      <w:marTop w:val="0"/>
      <w:marBottom w:val="0"/>
      <w:divBdr>
        <w:top w:val="none" w:sz="0" w:space="0" w:color="auto"/>
        <w:left w:val="none" w:sz="0" w:space="0" w:color="auto"/>
        <w:bottom w:val="none" w:sz="0" w:space="0" w:color="auto"/>
        <w:right w:val="none" w:sz="0" w:space="0" w:color="auto"/>
      </w:divBdr>
    </w:div>
    <w:div w:id="1648970611">
      <w:bodyDiv w:val="1"/>
      <w:marLeft w:val="0"/>
      <w:marRight w:val="0"/>
      <w:marTop w:val="0"/>
      <w:marBottom w:val="0"/>
      <w:divBdr>
        <w:top w:val="none" w:sz="0" w:space="0" w:color="auto"/>
        <w:left w:val="none" w:sz="0" w:space="0" w:color="auto"/>
        <w:bottom w:val="none" w:sz="0" w:space="0" w:color="auto"/>
        <w:right w:val="none" w:sz="0" w:space="0" w:color="auto"/>
      </w:divBdr>
    </w:div>
    <w:div w:id="1662464861">
      <w:bodyDiv w:val="1"/>
      <w:marLeft w:val="0"/>
      <w:marRight w:val="0"/>
      <w:marTop w:val="0"/>
      <w:marBottom w:val="0"/>
      <w:divBdr>
        <w:top w:val="none" w:sz="0" w:space="0" w:color="auto"/>
        <w:left w:val="none" w:sz="0" w:space="0" w:color="auto"/>
        <w:bottom w:val="none" w:sz="0" w:space="0" w:color="auto"/>
        <w:right w:val="none" w:sz="0" w:space="0" w:color="auto"/>
      </w:divBdr>
    </w:div>
    <w:div w:id="1662850083">
      <w:bodyDiv w:val="1"/>
      <w:marLeft w:val="0"/>
      <w:marRight w:val="0"/>
      <w:marTop w:val="0"/>
      <w:marBottom w:val="0"/>
      <w:divBdr>
        <w:top w:val="none" w:sz="0" w:space="0" w:color="auto"/>
        <w:left w:val="none" w:sz="0" w:space="0" w:color="auto"/>
        <w:bottom w:val="none" w:sz="0" w:space="0" w:color="auto"/>
        <w:right w:val="none" w:sz="0" w:space="0" w:color="auto"/>
      </w:divBdr>
    </w:div>
    <w:div w:id="1679850861">
      <w:bodyDiv w:val="1"/>
      <w:marLeft w:val="0"/>
      <w:marRight w:val="0"/>
      <w:marTop w:val="0"/>
      <w:marBottom w:val="0"/>
      <w:divBdr>
        <w:top w:val="none" w:sz="0" w:space="0" w:color="auto"/>
        <w:left w:val="none" w:sz="0" w:space="0" w:color="auto"/>
        <w:bottom w:val="none" w:sz="0" w:space="0" w:color="auto"/>
        <w:right w:val="none" w:sz="0" w:space="0" w:color="auto"/>
      </w:divBdr>
    </w:div>
    <w:div w:id="1708876253">
      <w:bodyDiv w:val="1"/>
      <w:marLeft w:val="0"/>
      <w:marRight w:val="0"/>
      <w:marTop w:val="0"/>
      <w:marBottom w:val="0"/>
      <w:divBdr>
        <w:top w:val="none" w:sz="0" w:space="0" w:color="auto"/>
        <w:left w:val="none" w:sz="0" w:space="0" w:color="auto"/>
        <w:bottom w:val="none" w:sz="0" w:space="0" w:color="auto"/>
        <w:right w:val="none" w:sz="0" w:space="0" w:color="auto"/>
      </w:divBdr>
    </w:div>
    <w:div w:id="1827086458">
      <w:bodyDiv w:val="1"/>
      <w:marLeft w:val="0"/>
      <w:marRight w:val="0"/>
      <w:marTop w:val="0"/>
      <w:marBottom w:val="0"/>
      <w:divBdr>
        <w:top w:val="none" w:sz="0" w:space="0" w:color="auto"/>
        <w:left w:val="none" w:sz="0" w:space="0" w:color="auto"/>
        <w:bottom w:val="none" w:sz="0" w:space="0" w:color="auto"/>
        <w:right w:val="none" w:sz="0" w:space="0" w:color="auto"/>
      </w:divBdr>
    </w:div>
    <w:div w:id="1873882119">
      <w:bodyDiv w:val="1"/>
      <w:marLeft w:val="0"/>
      <w:marRight w:val="0"/>
      <w:marTop w:val="0"/>
      <w:marBottom w:val="0"/>
      <w:divBdr>
        <w:top w:val="none" w:sz="0" w:space="0" w:color="auto"/>
        <w:left w:val="none" w:sz="0" w:space="0" w:color="auto"/>
        <w:bottom w:val="none" w:sz="0" w:space="0" w:color="auto"/>
        <w:right w:val="none" w:sz="0" w:space="0" w:color="auto"/>
      </w:divBdr>
    </w:div>
    <w:div w:id="1877888308">
      <w:bodyDiv w:val="1"/>
      <w:marLeft w:val="0"/>
      <w:marRight w:val="0"/>
      <w:marTop w:val="0"/>
      <w:marBottom w:val="0"/>
      <w:divBdr>
        <w:top w:val="none" w:sz="0" w:space="0" w:color="auto"/>
        <w:left w:val="none" w:sz="0" w:space="0" w:color="auto"/>
        <w:bottom w:val="none" w:sz="0" w:space="0" w:color="auto"/>
        <w:right w:val="none" w:sz="0" w:space="0" w:color="auto"/>
      </w:divBdr>
    </w:div>
    <w:div w:id="1909992738">
      <w:bodyDiv w:val="1"/>
      <w:marLeft w:val="0"/>
      <w:marRight w:val="0"/>
      <w:marTop w:val="0"/>
      <w:marBottom w:val="0"/>
      <w:divBdr>
        <w:top w:val="none" w:sz="0" w:space="0" w:color="auto"/>
        <w:left w:val="none" w:sz="0" w:space="0" w:color="auto"/>
        <w:bottom w:val="none" w:sz="0" w:space="0" w:color="auto"/>
        <w:right w:val="none" w:sz="0" w:space="0" w:color="auto"/>
      </w:divBdr>
      <w:divsChild>
        <w:div w:id="1917086580">
          <w:marLeft w:val="0"/>
          <w:marRight w:val="0"/>
          <w:marTop w:val="0"/>
          <w:marBottom w:val="0"/>
          <w:divBdr>
            <w:top w:val="none" w:sz="0" w:space="0" w:color="auto"/>
            <w:left w:val="none" w:sz="0" w:space="0" w:color="auto"/>
            <w:bottom w:val="none" w:sz="0" w:space="0" w:color="auto"/>
            <w:right w:val="none" w:sz="0" w:space="0" w:color="auto"/>
          </w:divBdr>
        </w:div>
      </w:divsChild>
    </w:div>
    <w:div w:id="1920207949">
      <w:bodyDiv w:val="1"/>
      <w:marLeft w:val="0"/>
      <w:marRight w:val="0"/>
      <w:marTop w:val="0"/>
      <w:marBottom w:val="0"/>
      <w:divBdr>
        <w:top w:val="none" w:sz="0" w:space="0" w:color="auto"/>
        <w:left w:val="none" w:sz="0" w:space="0" w:color="auto"/>
        <w:bottom w:val="none" w:sz="0" w:space="0" w:color="auto"/>
        <w:right w:val="none" w:sz="0" w:space="0" w:color="auto"/>
      </w:divBdr>
      <w:divsChild>
        <w:div w:id="1460801960">
          <w:marLeft w:val="0"/>
          <w:marRight w:val="0"/>
          <w:marTop w:val="0"/>
          <w:marBottom w:val="0"/>
          <w:divBdr>
            <w:top w:val="none" w:sz="0" w:space="0" w:color="auto"/>
            <w:left w:val="none" w:sz="0" w:space="0" w:color="auto"/>
            <w:bottom w:val="none" w:sz="0" w:space="0" w:color="auto"/>
            <w:right w:val="none" w:sz="0" w:space="0" w:color="auto"/>
          </w:divBdr>
          <w:divsChild>
            <w:div w:id="721709115">
              <w:marLeft w:val="0"/>
              <w:marRight w:val="0"/>
              <w:marTop w:val="0"/>
              <w:marBottom w:val="0"/>
              <w:divBdr>
                <w:top w:val="none" w:sz="0" w:space="0" w:color="auto"/>
                <w:left w:val="none" w:sz="0" w:space="0" w:color="auto"/>
                <w:bottom w:val="none" w:sz="0" w:space="0" w:color="auto"/>
                <w:right w:val="none" w:sz="0" w:space="0" w:color="auto"/>
              </w:divBdr>
              <w:divsChild>
                <w:div w:id="771632456">
                  <w:marLeft w:val="0"/>
                  <w:marRight w:val="0"/>
                  <w:marTop w:val="0"/>
                  <w:marBottom w:val="0"/>
                  <w:divBdr>
                    <w:top w:val="none" w:sz="0" w:space="0" w:color="auto"/>
                    <w:left w:val="none" w:sz="0" w:space="0" w:color="auto"/>
                    <w:bottom w:val="none" w:sz="0" w:space="0" w:color="auto"/>
                    <w:right w:val="none" w:sz="0" w:space="0" w:color="auto"/>
                  </w:divBdr>
                  <w:divsChild>
                    <w:div w:id="1627737445">
                      <w:marLeft w:val="0"/>
                      <w:marRight w:val="0"/>
                      <w:marTop w:val="0"/>
                      <w:marBottom w:val="0"/>
                      <w:divBdr>
                        <w:top w:val="none" w:sz="0" w:space="0" w:color="auto"/>
                        <w:left w:val="none" w:sz="0" w:space="0" w:color="auto"/>
                        <w:bottom w:val="none" w:sz="0" w:space="0" w:color="auto"/>
                        <w:right w:val="none" w:sz="0" w:space="0" w:color="auto"/>
                      </w:divBdr>
                      <w:divsChild>
                        <w:div w:id="1875926445">
                          <w:marLeft w:val="0"/>
                          <w:marRight w:val="0"/>
                          <w:marTop w:val="0"/>
                          <w:marBottom w:val="0"/>
                          <w:divBdr>
                            <w:top w:val="none" w:sz="0" w:space="0" w:color="auto"/>
                            <w:left w:val="none" w:sz="0" w:space="0" w:color="auto"/>
                            <w:bottom w:val="none" w:sz="0" w:space="0" w:color="auto"/>
                            <w:right w:val="none" w:sz="0" w:space="0" w:color="auto"/>
                          </w:divBdr>
                          <w:divsChild>
                            <w:div w:id="16331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581948">
      <w:bodyDiv w:val="1"/>
      <w:marLeft w:val="0"/>
      <w:marRight w:val="0"/>
      <w:marTop w:val="0"/>
      <w:marBottom w:val="0"/>
      <w:divBdr>
        <w:top w:val="none" w:sz="0" w:space="0" w:color="auto"/>
        <w:left w:val="none" w:sz="0" w:space="0" w:color="auto"/>
        <w:bottom w:val="none" w:sz="0" w:space="0" w:color="auto"/>
        <w:right w:val="none" w:sz="0" w:space="0" w:color="auto"/>
      </w:divBdr>
    </w:div>
    <w:div w:id="2036879590">
      <w:bodyDiv w:val="1"/>
      <w:marLeft w:val="0"/>
      <w:marRight w:val="0"/>
      <w:marTop w:val="0"/>
      <w:marBottom w:val="0"/>
      <w:divBdr>
        <w:top w:val="none" w:sz="0" w:space="0" w:color="auto"/>
        <w:left w:val="none" w:sz="0" w:space="0" w:color="auto"/>
        <w:bottom w:val="none" w:sz="0" w:space="0" w:color="auto"/>
        <w:right w:val="none" w:sz="0" w:space="0" w:color="auto"/>
      </w:divBdr>
      <w:divsChild>
        <w:div w:id="148375512">
          <w:marLeft w:val="0"/>
          <w:marRight w:val="0"/>
          <w:marTop w:val="0"/>
          <w:marBottom w:val="0"/>
          <w:divBdr>
            <w:top w:val="none" w:sz="0" w:space="0" w:color="auto"/>
            <w:left w:val="none" w:sz="0" w:space="0" w:color="auto"/>
            <w:bottom w:val="none" w:sz="0" w:space="0" w:color="auto"/>
            <w:right w:val="none" w:sz="0" w:space="0" w:color="auto"/>
          </w:divBdr>
          <w:divsChild>
            <w:div w:id="1538666770">
              <w:marLeft w:val="0"/>
              <w:marRight w:val="0"/>
              <w:marTop w:val="0"/>
              <w:marBottom w:val="0"/>
              <w:divBdr>
                <w:top w:val="none" w:sz="0" w:space="0" w:color="auto"/>
                <w:left w:val="none" w:sz="0" w:space="0" w:color="auto"/>
                <w:bottom w:val="none" w:sz="0" w:space="0" w:color="auto"/>
                <w:right w:val="none" w:sz="0" w:space="0" w:color="auto"/>
              </w:divBdr>
              <w:divsChild>
                <w:div w:id="263730522">
                  <w:marLeft w:val="0"/>
                  <w:marRight w:val="0"/>
                  <w:marTop w:val="109"/>
                  <w:marBottom w:val="0"/>
                  <w:divBdr>
                    <w:top w:val="none" w:sz="0" w:space="0" w:color="auto"/>
                    <w:left w:val="none" w:sz="0" w:space="0" w:color="auto"/>
                    <w:bottom w:val="none" w:sz="0" w:space="0" w:color="auto"/>
                    <w:right w:val="none" w:sz="0" w:space="0" w:color="auto"/>
                  </w:divBdr>
                  <w:divsChild>
                    <w:div w:id="466050038">
                      <w:marLeft w:val="0"/>
                      <w:marRight w:val="0"/>
                      <w:marTop w:val="0"/>
                      <w:marBottom w:val="0"/>
                      <w:divBdr>
                        <w:top w:val="none" w:sz="0" w:space="0" w:color="auto"/>
                        <w:left w:val="none" w:sz="0" w:space="0" w:color="auto"/>
                        <w:bottom w:val="none" w:sz="0" w:space="0" w:color="auto"/>
                        <w:right w:val="none" w:sz="0" w:space="0" w:color="auto"/>
                      </w:divBdr>
                      <w:divsChild>
                        <w:div w:id="172456459">
                          <w:marLeft w:val="109"/>
                          <w:marRight w:val="109"/>
                          <w:marTop w:val="109"/>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2062703765">
      <w:bodyDiv w:val="1"/>
      <w:marLeft w:val="0"/>
      <w:marRight w:val="0"/>
      <w:marTop w:val="0"/>
      <w:marBottom w:val="0"/>
      <w:divBdr>
        <w:top w:val="none" w:sz="0" w:space="0" w:color="auto"/>
        <w:left w:val="none" w:sz="0" w:space="0" w:color="auto"/>
        <w:bottom w:val="none" w:sz="0" w:space="0" w:color="auto"/>
        <w:right w:val="none" w:sz="0" w:space="0" w:color="auto"/>
      </w:divBdr>
      <w:divsChild>
        <w:div w:id="394087713">
          <w:marLeft w:val="0"/>
          <w:marRight w:val="0"/>
          <w:marTop w:val="23"/>
          <w:marBottom w:val="0"/>
          <w:divBdr>
            <w:top w:val="none" w:sz="0" w:space="0" w:color="auto"/>
            <w:left w:val="none" w:sz="0" w:space="0" w:color="auto"/>
            <w:bottom w:val="none" w:sz="0" w:space="0" w:color="auto"/>
            <w:right w:val="none" w:sz="0" w:space="0" w:color="auto"/>
          </w:divBdr>
          <w:divsChild>
            <w:div w:id="925655761">
              <w:marLeft w:val="0"/>
              <w:marRight w:val="0"/>
              <w:marTop w:val="0"/>
              <w:marBottom w:val="0"/>
              <w:divBdr>
                <w:top w:val="none" w:sz="0" w:space="0" w:color="auto"/>
                <w:left w:val="none" w:sz="0" w:space="0" w:color="auto"/>
                <w:bottom w:val="none" w:sz="0" w:space="0" w:color="auto"/>
                <w:right w:val="none" w:sz="0" w:space="0" w:color="auto"/>
              </w:divBdr>
              <w:divsChild>
                <w:div w:id="1213806904">
                  <w:marLeft w:val="0"/>
                  <w:marRight w:val="0"/>
                  <w:marTop w:val="0"/>
                  <w:marBottom w:val="0"/>
                  <w:divBdr>
                    <w:top w:val="single" w:sz="4" w:space="0" w:color="CCCCCC"/>
                    <w:left w:val="single" w:sz="4" w:space="0" w:color="CCCCCC"/>
                    <w:bottom w:val="single" w:sz="4" w:space="0" w:color="CCCCCC"/>
                    <w:right w:val="single" w:sz="4" w:space="0" w:color="CCCCCC"/>
                  </w:divBdr>
                  <w:divsChild>
                    <w:div w:id="1486894486">
                      <w:marLeft w:val="0"/>
                      <w:marRight w:val="0"/>
                      <w:marTop w:val="100"/>
                      <w:marBottom w:val="100"/>
                      <w:divBdr>
                        <w:top w:val="none" w:sz="0" w:space="0" w:color="auto"/>
                        <w:left w:val="none" w:sz="0" w:space="0" w:color="auto"/>
                        <w:bottom w:val="none" w:sz="0" w:space="0" w:color="auto"/>
                        <w:right w:val="none" w:sz="0" w:space="0" w:color="auto"/>
                      </w:divBdr>
                      <w:divsChild>
                        <w:div w:id="12633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264065">
      <w:bodyDiv w:val="1"/>
      <w:marLeft w:val="0"/>
      <w:marRight w:val="0"/>
      <w:marTop w:val="0"/>
      <w:marBottom w:val="0"/>
      <w:divBdr>
        <w:top w:val="none" w:sz="0" w:space="0" w:color="auto"/>
        <w:left w:val="none" w:sz="0" w:space="0" w:color="auto"/>
        <w:bottom w:val="none" w:sz="0" w:space="0" w:color="auto"/>
        <w:right w:val="none" w:sz="0" w:space="0" w:color="auto"/>
      </w:divBdr>
    </w:div>
    <w:div w:id="2107387941">
      <w:bodyDiv w:val="1"/>
      <w:marLeft w:val="0"/>
      <w:marRight w:val="0"/>
      <w:marTop w:val="0"/>
      <w:marBottom w:val="0"/>
      <w:divBdr>
        <w:top w:val="none" w:sz="0" w:space="0" w:color="auto"/>
        <w:left w:val="none" w:sz="0" w:space="0" w:color="auto"/>
        <w:bottom w:val="none" w:sz="0" w:space="0" w:color="auto"/>
        <w:right w:val="none" w:sz="0" w:space="0" w:color="auto"/>
      </w:divBdr>
      <w:divsChild>
        <w:div w:id="1880556731">
          <w:marLeft w:val="0"/>
          <w:marRight w:val="0"/>
          <w:marTop w:val="0"/>
          <w:marBottom w:val="0"/>
          <w:divBdr>
            <w:top w:val="none" w:sz="0" w:space="0" w:color="auto"/>
            <w:left w:val="none" w:sz="0" w:space="0" w:color="auto"/>
            <w:bottom w:val="none" w:sz="0" w:space="0" w:color="auto"/>
            <w:right w:val="none" w:sz="0" w:space="0" w:color="auto"/>
          </w:divBdr>
          <w:divsChild>
            <w:div w:id="732853713">
              <w:marLeft w:val="0"/>
              <w:marRight w:val="0"/>
              <w:marTop w:val="0"/>
              <w:marBottom w:val="0"/>
              <w:divBdr>
                <w:top w:val="none" w:sz="0" w:space="0" w:color="auto"/>
                <w:left w:val="none" w:sz="0" w:space="0" w:color="auto"/>
                <w:bottom w:val="none" w:sz="0" w:space="0" w:color="auto"/>
                <w:right w:val="none" w:sz="0" w:space="0" w:color="auto"/>
              </w:divBdr>
              <w:divsChild>
                <w:div w:id="964580212">
                  <w:marLeft w:val="0"/>
                  <w:marRight w:val="0"/>
                  <w:marTop w:val="120"/>
                  <w:marBottom w:val="0"/>
                  <w:divBdr>
                    <w:top w:val="none" w:sz="0" w:space="0" w:color="auto"/>
                    <w:left w:val="none" w:sz="0" w:space="0" w:color="auto"/>
                    <w:bottom w:val="none" w:sz="0" w:space="0" w:color="auto"/>
                    <w:right w:val="none" w:sz="0" w:space="0" w:color="auto"/>
                  </w:divBdr>
                  <w:divsChild>
                    <w:div w:id="791752245">
                      <w:marLeft w:val="0"/>
                      <w:marRight w:val="0"/>
                      <w:marTop w:val="0"/>
                      <w:marBottom w:val="0"/>
                      <w:divBdr>
                        <w:top w:val="none" w:sz="0" w:space="0" w:color="auto"/>
                        <w:left w:val="none" w:sz="0" w:space="0" w:color="auto"/>
                        <w:bottom w:val="none" w:sz="0" w:space="0" w:color="auto"/>
                        <w:right w:val="none" w:sz="0" w:space="0" w:color="auto"/>
                      </w:divBdr>
                      <w:divsChild>
                        <w:div w:id="20160368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36605362">
      <w:bodyDiv w:val="1"/>
      <w:marLeft w:val="0"/>
      <w:marRight w:val="0"/>
      <w:marTop w:val="0"/>
      <w:marBottom w:val="0"/>
      <w:divBdr>
        <w:top w:val="none" w:sz="0" w:space="0" w:color="auto"/>
        <w:left w:val="none" w:sz="0" w:space="0" w:color="auto"/>
        <w:bottom w:val="none" w:sz="0" w:space="0" w:color="auto"/>
        <w:right w:val="none" w:sz="0" w:space="0" w:color="auto"/>
      </w:divBdr>
      <w:divsChild>
        <w:div w:id="413821566">
          <w:marLeft w:val="0"/>
          <w:marRight w:val="92"/>
          <w:marTop w:val="0"/>
          <w:marBottom w:val="0"/>
          <w:divBdr>
            <w:top w:val="none" w:sz="0" w:space="0" w:color="auto"/>
            <w:left w:val="none" w:sz="0" w:space="0" w:color="auto"/>
            <w:bottom w:val="none" w:sz="0" w:space="0" w:color="auto"/>
            <w:right w:val="none" w:sz="0" w:space="0" w:color="auto"/>
          </w:divBdr>
          <w:divsChild>
            <w:div w:id="1969047491">
              <w:marLeft w:val="0"/>
              <w:marRight w:val="0"/>
              <w:marTop w:val="0"/>
              <w:marBottom w:val="115"/>
              <w:divBdr>
                <w:top w:val="single" w:sz="4" w:space="12" w:color="CCD9E6"/>
                <w:left w:val="single" w:sz="4" w:space="0" w:color="CCD9E6"/>
                <w:bottom w:val="single" w:sz="4" w:space="9" w:color="CCD9E6"/>
                <w:right w:val="single" w:sz="4" w:space="0" w:color="CCD9E6"/>
              </w:divBdr>
              <w:divsChild>
                <w:div w:id="2051101201">
                  <w:marLeft w:val="0"/>
                  <w:marRight w:val="0"/>
                  <w:marTop w:val="184"/>
                  <w:marBottom w:val="184"/>
                  <w:divBdr>
                    <w:top w:val="none" w:sz="0" w:space="0" w:color="auto"/>
                    <w:left w:val="none" w:sz="0" w:space="0" w:color="auto"/>
                    <w:bottom w:val="none" w:sz="0" w:space="0" w:color="auto"/>
                    <w:right w:val="none" w:sz="0" w:space="0" w:color="auto"/>
                  </w:divBdr>
                  <w:divsChild>
                    <w:div w:id="582497597">
                      <w:marLeft w:val="0"/>
                      <w:marRight w:val="0"/>
                      <w:marTop w:val="0"/>
                      <w:marBottom w:val="0"/>
                      <w:divBdr>
                        <w:top w:val="none" w:sz="0" w:space="0" w:color="auto"/>
                        <w:left w:val="none" w:sz="0" w:space="0" w:color="auto"/>
                        <w:bottom w:val="none" w:sz="0" w:space="0" w:color="auto"/>
                        <w:right w:val="none" w:sz="0" w:space="0" w:color="auto"/>
                      </w:divBdr>
                      <w:divsChild>
                        <w:div w:id="6061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27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hyperlink" Target="http://www.smm.cn/" TargetMode="Externa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1.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37038;&#31665;%20%20%20%20%20wu.j@jyqh.com.cn" TargetMode="External"/><Relationship Id="rId14" Type="http://schemas.openxmlformats.org/officeDocument/2006/relationships/hyperlink" Target="http://www.smm.cn/"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image" Target="media/image7.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10.1.10.51\wu.j\&#38085;&#38156;&#26376;&#25253;wind&#29256;%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1.10.51\wu.j\&#38085;&#38156;&#26376;&#25253;wind&#29256;%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1.10.51\wu.j\&#38085;&#38156;&#26376;&#25253;wind&#29256;%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1.10.51\&#30740;&#21457;&#37096;\&#25253;&#21578;&#20250;\2013\wuj\&#34746;&#32441;&#38050;&#26376;&#23395;&#25253;&#2157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1.10.51\wu.j\&#38085;&#38156;&#26376;&#25253;wind&#29256;%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1.10.51\&#30740;&#21457;&#37096;\&#25253;&#21578;&#20250;\2013\wuj\&#34746;&#32441;&#38050;&#26376;&#23395;&#25253;&#2157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1.10.51\&#30740;&#21457;&#37096;\&#25253;&#21578;&#20250;\2013\wuj\&#34746;&#32441;&#38050;&#26376;&#23395;&#25253;&#2157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1.10.51\&#30740;&#21457;&#37096;\&#25253;&#21578;&#20250;\2013\wuj\&#34746;&#32441;&#38050;&#26376;&#23395;&#25253;&#2157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1.10.51\&#30740;&#21457;&#37096;\&#25253;&#21578;&#20250;\2013\wuj\&#34746;&#32441;&#38050;&#26376;&#23395;&#25253;&#21578;.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10.1.10.51\wu.j\&#38085;&#38156;&#26376;&#25253;wind&#29256;%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0.1.10.51\wu.j\&#38085;&#38156;&#26376;&#25253;wind&#29256;%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1.10.51\wu.j\&#38085;&#38156;&#26376;&#25253;wind&#29256;%20.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10.1.10.51\&#30740;&#21457;&#37096;\&#25253;&#21578;&#20250;\2013\wuj\&#37329;&#23646;&#25968;&#25454;&#24211;&#65288;&#31609;&#24314;&#65289;\&#37329;&#23646;&#24211;&#23384;&#21450;&#20179;&#21333;(Bloomberg).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10.1.10.51\&#30740;&#21457;&#37096;\&#25253;&#21578;&#20250;\2013\wuj\&#37329;&#23646;&#25968;&#25454;&#24211;&#65288;&#31609;&#24314;&#65289;\&#37329;&#23646;&#24211;&#23384;&#21450;&#20179;&#21333;(Bloomberg).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10.1.10.51\wu.j\&#38085;&#38156;&#26376;&#25253;wind&#29256;%20.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10.1.10.51\wu.j\&#38085;&#38156;&#26376;&#25253;wind&#29256;%20.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10.1.10.51\wu.j\&#38085;&#38156;&#26376;&#25253;wind&#29256;%20.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10.1.10.51\wu.j\&#38085;&#38156;&#26376;&#25253;wind&#29256;%20.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10.1.10.51\wu.j\&#38085;&#38156;&#26376;&#25253;wind&#29256;%20.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10.1.10.51\wu.j\&#38085;&#38156;&#26376;&#25253;wind&#29256;%2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1.10.51\&#30740;&#21457;&#37096;\&#25253;&#21578;&#20250;\2013\wuj\&#37329;&#23646;&#25968;&#25454;&#24211;&#65288;&#31609;&#24314;&#65289;\&#37329;&#23646;&#24211;&#23384;&#21450;&#20179;&#21333;(Bloomberg).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10.51\&#30740;&#21457;&#37096;\&#25253;&#21578;&#20250;\2013\wuj\&#37329;&#23646;&#25968;&#25454;&#24211;&#65288;&#31609;&#24314;&#65289;\&#37329;&#23646;&#24211;&#23384;&#21450;&#20179;&#21333;(Bloomberg).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0.1.10.51\wu.j\&#38085;&#38156;&#26376;&#25253;wind&#29256;%2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10.1.10.51\wu.j\&#38085;&#38156;&#26376;&#25253;wind&#29256;%2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10.1.10.51\wu.j\&#38085;&#38156;&#26376;&#25253;wind&#29256;%2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10.1.10.51\wu.j\&#38085;&#38156;&#26376;&#25253;wind&#29256;%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1.10.51\wu.j\&#38085;&#38156;&#26376;&#25253;wind&#29256;%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4540088853183296E-2"/>
          <c:y val="0.12560562978870024"/>
          <c:w val="0.8759718226221862"/>
          <c:h val="0.630716200721122"/>
        </c:manualLayout>
      </c:layout>
      <c:lineChart>
        <c:grouping val="standard"/>
        <c:ser>
          <c:idx val="0"/>
          <c:order val="0"/>
          <c:tx>
            <c:v>锌：供需平衡累计值（WBMS)</c:v>
          </c:tx>
          <c:marker>
            <c:symbol val="none"/>
          </c:marker>
          <c:cat>
            <c:numRef>
              <c:f>WBMS!$A$5:$A$52</c:f>
              <c:numCache>
                <c:formatCode>yyyy\-mm;@</c:formatCode>
                <c:ptCount val="48"/>
                <c:pt idx="0">
                  <c:v>41729</c:v>
                </c:pt>
                <c:pt idx="1">
                  <c:v>41698</c:v>
                </c:pt>
                <c:pt idx="2">
                  <c:v>41639</c:v>
                </c:pt>
                <c:pt idx="3">
                  <c:v>41608</c:v>
                </c:pt>
                <c:pt idx="4">
                  <c:v>41578</c:v>
                </c:pt>
                <c:pt idx="5">
                  <c:v>41547</c:v>
                </c:pt>
                <c:pt idx="6">
                  <c:v>41517</c:v>
                </c:pt>
                <c:pt idx="7">
                  <c:v>41425</c:v>
                </c:pt>
                <c:pt idx="8">
                  <c:v>41394</c:v>
                </c:pt>
                <c:pt idx="9">
                  <c:v>41364</c:v>
                </c:pt>
                <c:pt idx="10">
                  <c:v>41333</c:v>
                </c:pt>
                <c:pt idx="11">
                  <c:v>41305</c:v>
                </c:pt>
                <c:pt idx="12">
                  <c:v>41274</c:v>
                </c:pt>
                <c:pt idx="13">
                  <c:v>41243</c:v>
                </c:pt>
                <c:pt idx="14">
                  <c:v>41213</c:v>
                </c:pt>
                <c:pt idx="15">
                  <c:v>41182</c:v>
                </c:pt>
                <c:pt idx="16">
                  <c:v>41152</c:v>
                </c:pt>
                <c:pt idx="17">
                  <c:v>41121</c:v>
                </c:pt>
                <c:pt idx="18">
                  <c:v>41090</c:v>
                </c:pt>
                <c:pt idx="19">
                  <c:v>41060</c:v>
                </c:pt>
                <c:pt idx="20">
                  <c:v>41029</c:v>
                </c:pt>
                <c:pt idx="21">
                  <c:v>40999</c:v>
                </c:pt>
                <c:pt idx="22">
                  <c:v>40968</c:v>
                </c:pt>
                <c:pt idx="23">
                  <c:v>40908</c:v>
                </c:pt>
                <c:pt idx="24">
                  <c:v>40877</c:v>
                </c:pt>
                <c:pt idx="25">
                  <c:v>40847</c:v>
                </c:pt>
                <c:pt idx="26">
                  <c:v>40816</c:v>
                </c:pt>
                <c:pt idx="27">
                  <c:v>40786</c:v>
                </c:pt>
                <c:pt idx="28">
                  <c:v>40755</c:v>
                </c:pt>
                <c:pt idx="29">
                  <c:v>40724</c:v>
                </c:pt>
                <c:pt idx="30">
                  <c:v>40694</c:v>
                </c:pt>
                <c:pt idx="31">
                  <c:v>40663</c:v>
                </c:pt>
                <c:pt idx="32">
                  <c:v>40633</c:v>
                </c:pt>
                <c:pt idx="33">
                  <c:v>40602</c:v>
                </c:pt>
                <c:pt idx="34">
                  <c:v>40543</c:v>
                </c:pt>
                <c:pt idx="35">
                  <c:v>40512</c:v>
                </c:pt>
                <c:pt idx="36">
                  <c:v>40482</c:v>
                </c:pt>
                <c:pt idx="37">
                  <c:v>40451</c:v>
                </c:pt>
                <c:pt idx="38">
                  <c:v>40421</c:v>
                </c:pt>
                <c:pt idx="39">
                  <c:v>40390</c:v>
                </c:pt>
                <c:pt idx="40">
                  <c:v>40359</c:v>
                </c:pt>
                <c:pt idx="41">
                  <c:v>40329</c:v>
                </c:pt>
                <c:pt idx="42">
                  <c:v>40298</c:v>
                </c:pt>
                <c:pt idx="43">
                  <c:v>40268</c:v>
                </c:pt>
                <c:pt idx="44">
                  <c:v>40237</c:v>
                </c:pt>
                <c:pt idx="45">
                  <c:v>40209</c:v>
                </c:pt>
                <c:pt idx="46">
                  <c:v>40178</c:v>
                </c:pt>
                <c:pt idx="47">
                  <c:v>40147</c:v>
                </c:pt>
              </c:numCache>
            </c:numRef>
          </c:cat>
          <c:val>
            <c:numRef>
              <c:f>WBMS!$B$5:$B$52</c:f>
              <c:numCache>
                <c:formatCode>###,###,###,###,##0.00</c:formatCode>
                <c:ptCount val="48"/>
                <c:pt idx="0">
                  <c:v>6.6</c:v>
                </c:pt>
                <c:pt idx="1">
                  <c:v>2.5</c:v>
                </c:pt>
                <c:pt idx="2">
                  <c:v>11.5</c:v>
                </c:pt>
                <c:pt idx="3">
                  <c:v>3.3</c:v>
                </c:pt>
                <c:pt idx="4">
                  <c:v>12.3</c:v>
                </c:pt>
                <c:pt idx="5">
                  <c:v>9.2000000000000011</c:v>
                </c:pt>
                <c:pt idx="6">
                  <c:v>12.8</c:v>
                </c:pt>
                <c:pt idx="7">
                  <c:v>7.42</c:v>
                </c:pt>
                <c:pt idx="8">
                  <c:v>15.56</c:v>
                </c:pt>
                <c:pt idx="9">
                  <c:v>14.07</c:v>
                </c:pt>
                <c:pt idx="10">
                  <c:v>13.870000000000006</c:v>
                </c:pt>
                <c:pt idx="11">
                  <c:v>5.53</c:v>
                </c:pt>
                <c:pt idx="12">
                  <c:v>34.300000000000004</c:v>
                </c:pt>
                <c:pt idx="13">
                  <c:v>17.5</c:v>
                </c:pt>
                <c:pt idx="14">
                  <c:v>27</c:v>
                </c:pt>
                <c:pt idx="15">
                  <c:v>29.3</c:v>
                </c:pt>
                <c:pt idx="16">
                  <c:v>21.7</c:v>
                </c:pt>
                <c:pt idx="17">
                  <c:v>30.4</c:v>
                </c:pt>
                <c:pt idx="18">
                  <c:v>26.4</c:v>
                </c:pt>
                <c:pt idx="19">
                  <c:v>19.760000000000002</c:v>
                </c:pt>
                <c:pt idx="20">
                  <c:v>16.68</c:v>
                </c:pt>
                <c:pt idx="21">
                  <c:v>16.100000000000001</c:v>
                </c:pt>
                <c:pt idx="22">
                  <c:v>13.950000000000006</c:v>
                </c:pt>
                <c:pt idx="23">
                  <c:v>55.2</c:v>
                </c:pt>
                <c:pt idx="24">
                  <c:v>48.4</c:v>
                </c:pt>
                <c:pt idx="25">
                  <c:v>50</c:v>
                </c:pt>
                <c:pt idx="26">
                  <c:v>58.1</c:v>
                </c:pt>
                <c:pt idx="27">
                  <c:v>54.1</c:v>
                </c:pt>
                <c:pt idx="28">
                  <c:v>38.5</c:v>
                </c:pt>
                <c:pt idx="29">
                  <c:v>42.7</c:v>
                </c:pt>
                <c:pt idx="30">
                  <c:v>34.1</c:v>
                </c:pt>
                <c:pt idx="31">
                  <c:v>28.4</c:v>
                </c:pt>
                <c:pt idx="32">
                  <c:v>16.600000000000001</c:v>
                </c:pt>
                <c:pt idx="33">
                  <c:v>11.8</c:v>
                </c:pt>
                <c:pt idx="34">
                  <c:v>41.5</c:v>
                </c:pt>
                <c:pt idx="35">
                  <c:v>43.5</c:v>
                </c:pt>
                <c:pt idx="36">
                  <c:v>41.5</c:v>
                </c:pt>
                <c:pt idx="37">
                  <c:v>29.2</c:v>
                </c:pt>
                <c:pt idx="38">
                  <c:v>25.3</c:v>
                </c:pt>
                <c:pt idx="39">
                  <c:v>26.5</c:v>
                </c:pt>
                <c:pt idx="40">
                  <c:v>26.6</c:v>
                </c:pt>
                <c:pt idx="41">
                  <c:v>24.1</c:v>
                </c:pt>
                <c:pt idx="42">
                  <c:v>28.8</c:v>
                </c:pt>
                <c:pt idx="43">
                  <c:v>38.300000000000004</c:v>
                </c:pt>
                <c:pt idx="44">
                  <c:v>19.2</c:v>
                </c:pt>
                <c:pt idx="45">
                  <c:v>11.9</c:v>
                </c:pt>
                <c:pt idx="46">
                  <c:v>25.4</c:v>
                </c:pt>
                <c:pt idx="47">
                  <c:v>18.2</c:v>
                </c:pt>
              </c:numCache>
            </c:numRef>
          </c:val>
        </c:ser>
        <c:marker val="1"/>
        <c:axId val="114470272"/>
        <c:axId val="114476160"/>
      </c:lineChart>
      <c:dateAx>
        <c:axId val="114470272"/>
        <c:scaling>
          <c:orientation val="minMax"/>
        </c:scaling>
        <c:axPos val="b"/>
        <c:numFmt formatCode="yyyy\-mm;@" sourceLinked="1"/>
        <c:tickLblPos val="nextTo"/>
        <c:txPr>
          <a:bodyPr/>
          <a:lstStyle/>
          <a:p>
            <a:pPr>
              <a:defRPr sz="800"/>
            </a:pPr>
            <a:endParaRPr lang="zh-CN"/>
          </a:p>
        </c:txPr>
        <c:crossAx val="114476160"/>
        <c:crosses val="autoZero"/>
        <c:auto val="1"/>
        <c:lblOffset val="100"/>
      </c:dateAx>
      <c:valAx>
        <c:axId val="114476160"/>
        <c:scaling>
          <c:orientation val="minMax"/>
        </c:scaling>
        <c:axPos val="l"/>
        <c:majorGridlines/>
        <c:numFmt formatCode="General" sourceLinked="0"/>
        <c:tickLblPos val="nextTo"/>
        <c:txPr>
          <a:bodyPr/>
          <a:lstStyle/>
          <a:p>
            <a:pPr>
              <a:defRPr sz="800"/>
            </a:pPr>
            <a:endParaRPr lang="zh-CN"/>
          </a:p>
        </c:txPr>
        <c:crossAx val="114470272"/>
        <c:crosses val="autoZero"/>
        <c:crossBetween val="between"/>
      </c:valAx>
    </c:plotArea>
    <c:legend>
      <c:legendPos val="t"/>
      <c:layout>
        <c:manualLayout>
          <c:xMode val="edge"/>
          <c:yMode val="edge"/>
          <c:x val="0.187146037726759"/>
          <c:y val="0"/>
          <c:w val="0.62570763430939424"/>
          <c:h val="9.4039973223044207E-2"/>
        </c:manualLayout>
      </c:layout>
      <c:txPr>
        <a:bodyPr/>
        <a:lstStyle/>
        <a:p>
          <a:pPr>
            <a:defRPr sz="900"/>
          </a:pPr>
          <a:endParaRPr lang="zh-CN"/>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v>汽车产量累计值（万辆）</c:v>
          </c:tx>
          <c:cat>
            <c:numRef>
              <c:f>锌下游!$O$5:$O$53</c:f>
              <c:numCache>
                <c:formatCode>yyyy\-mm;@</c:formatCode>
                <c:ptCount val="49"/>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numCache>
            </c:numRef>
          </c:cat>
          <c:val>
            <c:numRef>
              <c:f>锌下游!$P$5:$P$53</c:f>
              <c:numCache>
                <c:formatCode>###,###,###,###,##0.00</c:formatCode>
                <c:ptCount val="49"/>
                <c:pt idx="0">
                  <c:v>848.72789999999998</c:v>
                </c:pt>
                <c:pt idx="1">
                  <c:v>626</c:v>
                </c:pt>
                <c:pt idx="2">
                  <c:v>387.0401</c:v>
                </c:pt>
                <c:pt idx="3">
                  <c:v>2387.4243999999999</c:v>
                </c:pt>
                <c:pt idx="4">
                  <c:v>2162.0502999999999</c:v>
                </c:pt>
                <c:pt idx="5">
                  <c:v>1937.2438999999999</c:v>
                </c:pt>
                <c:pt idx="6">
                  <c:v>1713.9487000000001</c:v>
                </c:pt>
                <c:pt idx="7">
                  <c:v>1507.2766000000001</c:v>
                </c:pt>
                <c:pt idx="8">
                  <c:v>1327.5731999999998</c:v>
                </c:pt>
                <c:pt idx="9">
                  <c:v>1156.819</c:v>
                </c:pt>
                <c:pt idx="10">
                  <c:v>972.67169999999999</c:v>
                </c:pt>
                <c:pt idx="11">
                  <c:v>780.3</c:v>
                </c:pt>
                <c:pt idx="12">
                  <c:v>579.20000000000005</c:v>
                </c:pt>
                <c:pt idx="13">
                  <c:v>350</c:v>
                </c:pt>
                <c:pt idx="14">
                  <c:v>205.5</c:v>
                </c:pt>
                <c:pt idx="15">
                  <c:v>2059.6999999999998</c:v>
                </c:pt>
                <c:pt idx="16">
                  <c:v>1868.4</c:v>
                </c:pt>
                <c:pt idx="17">
                  <c:v>1687.4</c:v>
                </c:pt>
                <c:pt idx="18">
                  <c:v>1519.5</c:v>
                </c:pt>
                <c:pt idx="19">
                  <c:v>1334.3</c:v>
                </c:pt>
                <c:pt idx="20">
                  <c:v>1176.4000000000001</c:v>
                </c:pt>
                <c:pt idx="21">
                  <c:v>1028.2</c:v>
                </c:pt>
                <c:pt idx="22">
                  <c:v>870.5</c:v>
                </c:pt>
                <c:pt idx="23">
                  <c:v>695.8</c:v>
                </c:pt>
                <c:pt idx="24">
                  <c:v>506.4</c:v>
                </c:pt>
                <c:pt idx="25">
                  <c:v>312</c:v>
                </c:pt>
                <c:pt idx="26">
                  <c:v>138.9205</c:v>
                </c:pt>
                <c:pt idx="27">
                  <c:v>1919.1</c:v>
                </c:pt>
                <c:pt idx="28">
                  <c:v>1737.1</c:v>
                </c:pt>
                <c:pt idx="29">
                  <c:v>1558.1</c:v>
                </c:pt>
                <c:pt idx="30">
                  <c:v>1396.8</c:v>
                </c:pt>
                <c:pt idx="31">
                  <c:v>1230.0999999999999</c:v>
                </c:pt>
                <c:pt idx="32">
                  <c:v>1085</c:v>
                </c:pt>
                <c:pt idx="33">
                  <c:v>955</c:v>
                </c:pt>
                <c:pt idx="34">
                  <c:v>806.2</c:v>
                </c:pt>
                <c:pt idx="35">
                  <c:v>663.3</c:v>
                </c:pt>
                <c:pt idx="36">
                  <c:v>507</c:v>
                </c:pt>
                <c:pt idx="37">
                  <c:v>313.3</c:v>
                </c:pt>
                <c:pt idx="38">
                  <c:v>183.50359999999998</c:v>
                </c:pt>
                <c:pt idx="39">
                  <c:v>1865.4</c:v>
                </c:pt>
                <c:pt idx="40">
                  <c:v>1680.6</c:v>
                </c:pt>
                <c:pt idx="41">
                  <c:v>1498.3</c:v>
                </c:pt>
                <c:pt idx="42">
                  <c:v>1339</c:v>
                </c:pt>
                <c:pt idx="43">
                  <c:v>1184.7</c:v>
                </c:pt>
                <c:pt idx="44">
                  <c:v>1044.7</c:v>
                </c:pt>
                <c:pt idx="45">
                  <c:v>908.4</c:v>
                </c:pt>
                <c:pt idx="46">
                  <c:v>767.1</c:v>
                </c:pt>
                <c:pt idx="47">
                  <c:v>621.6</c:v>
                </c:pt>
                <c:pt idx="48">
                  <c:v>458.9</c:v>
                </c:pt>
              </c:numCache>
            </c:numRef>
          </c:val>
        </c:ser>
        <c:axId val="122693504"/>
        <c:axId val="122695040"/>
      </c:barChart>
      <c:lineChart>
        <c:grouping val="standard"/>
        <c:ser>
          <c:idx val="1"/>
          <c:order val="1"/>
          <c:tx>
            <c:v>汽车产量累计同比（右轴）</c:v>
          </c:tx>
          <c:marker>
            <c:symbol val="none"/>
          </c:marker>
          <c:cat>
            <c:numRef>
              <c:f>锌下游!$O$5:$O$53</c:f>
              <c:numCache>
                <c:formatCode>yyyy\-mm;@</c:formatCode>
                <c:ptCount val="49"/>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numCache>
            </c:numRef>
          </c:cat>
          <c:val>
            <c:numRef>
              <c:f>锌下游!$Q$5:$Q$53</c:f>
              <c:numCache>
                <c:formatCode>###,###,###,###,##0.00</c:formatCode>
                <c:ptCount val="49"/>
                <c:pt idx="0">
                  <c:v>8.3572000000000006</c:v>
                </c:pt>
                <c:pt idx="1">
                  <c:v>10.8</c:v>
                </c:pt>
                <c:pt idx="2">
                  <c:v>12.5252</c:v>
                </c:pt>
                <c:pt idx="3">
                  <c:v>18.4041</c:v>
                </c:pt>
                <c:pt idx="4">
                  <c:v>18.111200000000046</c:v>
                </c:pt>
                <c:pt idx="5">
                  <c:v>17.23</c:v>
                </c:pt>
                <c:pt idx="6">
                  <c:v>15.3239</c:v>
                </c:pt>
                <c:pt idx="7">
                  <c:v>15.108700000000001</c:v>
                </c:pt>
                <c:pt idx="8">
                  <c:v>15.1549</c:v>
                </c:pt>
                <c:pt idx="9">
                  <c:v>15.111299999999998</c:v>
                </c:pt>
                <c:pt idx="10">
                  <c:v>15.3469</c:v>
                </c:pt>
                <c:pt idx="11">
                  <c:v>15.4</c:v>
                </c:pt>
                <c:pt idx="12">
                  <c:v>13.5</c:v>
                </c:pt>
                <c:pt idx="13">
                  <c:v>12.4</c:v>
                </c:pt>
                <c:pt idx="14">
                  <c:v>47.5</c:v>
                </c:pt>
                <c:pt idx="15">
                  <c:v>6.3</c:v>
                </c:pt>
                <c:pt idx="16">
                  <c:v>6.5</c:v>
                </c:pt>
                <c:pt idx="17">
                  <c:v>6.9</c:v>
                </c:pt>
                <c:pt idx="18">
                  <c:v>7.3</c:v>
                </c:pt>
                <c:pt idx="19">
                  <c:v>7.6</c:v>
                </c:pt>
                <c:pt idx="20">
                  <c:v>7.4</c:v>
                </c:pt>
                <c:pt idx="21">
                  <c:v>6.7</c:v>
                </c:pt>
                <c:pt idx="22">
                  <c:v>6.2</c:v>
                </c:pt>
                <c:pt idx="23">
                  <c:v>3.1</c:v>
                </c:pt>
                <c:pt idx="24">
                  <c:v>0</c:v>
                </c:pt>
                <c:pt idx="25">
                  <c:v>-1.8</c:v>
                </c:pt>
                <c:pt idx="26">
                  <c:v>-25.7134</c:v>
                </c:pt>
                <c:pt idx="27">
                  <c:v>3</c:v>
                </c:pt>
                <c:pt idx="28">
                  <c:v>3.9</c:v>
                </c:pt>
                <c:pt idx="29">
                  <c:v>4.2</c:v>
                </c:pt>
                <c:pt idx="30">
                  <c:v>4.5</c:v>
                </c:pt>
                <c:pt idx="31">
                  <c:v>4.7</c:v>
                </c:pt>
                <c:pt idx="32">
                  <c:v>4</c:v>
                </c:pt>
                <c:pt idx="33">
                  <c:v>5</c:v>
                </c:pt>
                <c:pt idx="34">
                  <c:v>5.2</c:v>
                </c:pt>
                <c:pt idx="35">
                  <c:v>6.9</c:v>
                </c:pt>
                <c:pt idx="36">
                  <c:v>10.3</c:v>
                </c:pt>
                <c:pt idx="37">
                  <c:v>10.3</c:v>
                </c:pt>
                <c:pt idx="38">
                  <c:v>13.2584</c:v>
                </c:pt>
                <c:pt idx="39">
                  <c:v>31.9</c:v>
                </c:pt>
                <c:pt idx="40">
                  <c:v>33.1</c:v>
                </c:pt>
                <c:pt idx="41">
                  <c:v>33.800000000000004</c:v>
                </c:pt>
                <c:pt idx="42">
                  <c:v>35.300000000000004</c:v>
                </c:pt>
                <c:pt idx="43">
                  <c:v>38.4</c:v>
                </c:pt>
                <c:pt idx="44">
                  <c:v>42.3</c:v>
                </c:pt>
                <c:pt idx="45">
                  <c:v>46.6</c:v>
                </c:pt>
                <c:pt idx="46">
                  <c:v>53.6</c:v>
                </c:pt>
                <c:pt idx="47">
                  <c:v>61.9</c:v>
                </c:pt>
                <c:pt idx="48">
                  <c:v>73.2</c:v>
                </c:pt>
              </c:numCache>
            </c:numRef>
          </c:val>
        </c:ser>
        <c:marker val="1"/>
        <c:axId val="122735232"/>
        <c:axId val="122733696"/>
      </c:lineChart>
      <c:dateAx>
        <c:axId val="122693504"/>
        <c:scaling>
          <c:orientation val="minMax"/>
        </c:scaling>
        <c:axPos val="b"/>
        <c:numFmt formatCode="yyyy\-mm;@" sourceLinked="1"/>
        <c:tickLblPos val="nextTo"/>
        <c:txPr>
          <a:bodyPr/>
          <a:lstStyle/>
          <a:p>
            <a:pPr>
              <a:defRPr sz="900"/>
            </a:pPr>
            <a:endParaRPr lang="zh-CN"/>
          </a:p>
        </c:txPr>
        <c:crossAx val="122695040"/>
        <c:crosses val="autoZero"/>
        <c:auto val="1"/>
        <c:lblOffset val="100"/>
      </c:dateAx>
      <c:valAx>
        <c:axId val="122695040"/>
        <c:scaling>
          <c:orientation val="minMax"/>
        </c:scaling>
        <c:axPos val="l"/>
        <c:majorGridlines/>
        <c:numFmt formatCode="General" sourceLinked="0"/>
        <c:tickLblPos val="nextTo"/>
        <c:txPr>
          <a:bodyPr/>
          <a:lstStyle/>
          <a:p>
            <a:pPr>
              <a:defRPr sz="900"/>
            </a:pPr>
            <a:endParaRPr lang="zh-CN"/>
          </a:p>
        </c:txPr>
        <c:crossAx val="122693504"/>
        <c:crosses val="autoZero"/>
        <c:crossBetween val="between"/>
      </c:valAx>
      <c:valAx>
        <c:axId val="122733696"/>
        <c:scaling>
          <c:orientation val="minMax"/>
          <c:max val="150"/>
          <c:min val="-20"/>
        </c:scaling>
        <c:axPos val="r"/>
        <c:numFmt formatCode="General" sourceLinked="0"/>
        <c:tickLblPos val="nextTo"/>
        <c:txPr>
          <a:bodyPr/>
          <a:lstStyle/>
          <a:p>
            <a:pPr>
              <a:defRPr sz="900"/>
            </a:pPr>
            <a:endParaRPr lang="zh-CN"/>
          </a:p>
        </c:txPr>
        <c:crossAx val="122735232"/>
        <c:crosses val="max"/>
        <c:crossBetween val="between"/>
      </c:valAx>
      <c:dateAx>
        <c:axId val="122735232"/>
        <c:scaling>
          <c:orientation val="minMax"/>
        </c:scaling>
        <c:delete val="1"/>
        <c:axPos val="b"/>
        <c:numFmt formatCode="yyyy\-mm;@" sourceLinked="1"/>
        <c:tickLblPos val="none"/>
        <c:crossAx val="122733696"/>
        <c:crosses val="autoZero"/>
        <c:auto val="1"/>
        <c:lblOffset val="100"/>
      </c:dateAx>
    </c:plotArea>
    <c:legend>
      <c:legendPos val="t"/>
      <c:layout>
        <c:manualLayout>
          <c:xMode val="edge"/>
          <c:yMode val="edge"/>
          <c:x val="9.4118456650612345E-2"/>
          <c:y val="5.1081397200900321E-3"/>
          <c:w val="0.8746244940060327"/>
          <c:h val="0.15153718806159597"/>
        </c:manualLayout>
      </c:layout>
      <c:txPr>
        <a:bodyPr/>
        <a:lstStyle/>
        <a:p>
          <a:pPr>
            <a:defRPr sz="800"/>
          </a:pPr>
          <a:endParaRPr lang="zh-CN"/>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v>汽车销量累计值（万辆）</c:v>
          </c:tx>
          <c:cat>
            <c:numRef>
              <c:f>锌下游!$E$4:$E$52</c:f>
              <c:numCache>
                <c:formatCode>yyyy\-mm;@</c:formatCode>
                <c:ptCount val="49"/>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pt idx="46">
                  <c:v>40359</c:v>
                </c:pt>
                <c:pt idx="47">
                  <c:v>40329</c:v>
                </c:pt>
                <c:pt idx="48">
                  <c:v>40298</c:v>
                </c:pt>
              </c:numCache>
            </c:numRef>
          </c:cat>
          <c:val>
            <c:numRef>
              <c:f>锌下游!$G$4:$G$52</c:f>
              <c:numCache>
                <c:formatCode>###,###,###,###,##0.00</c:formatCode>
                <c:ptCount val="49"/>
                <c:pt idx="0">
                  <c:v>792.51</c:v>
                </c:pt>
                <c:pt idx="1">
                  <c:v>592.23</c:v>
                </c:pt>
                <c:pt idx="2">
                  <c:v>375.2899999999994</c:v>
                </c:pt>
                <c:pt idx="3">
                  <c:v>215.64</c:v>
                </c:pt>
                <c:pt idx="4">
                  <c:v>2198.4100000000012</c:v>
                </c:pt>
                <c:pt idx="5">
                  <c:v>1986.01</c:v>
                </c:pt>
                <c:pt idx="6">
                  <c:v>1781.58</c:v>
                </c:pt>
                <c:pt idx="7">
                  <c:v>1588.31</c:v>
                </c:pt>
                <c:pt idx="8">
                  <c:v>1394.76</c:v>
                </c:pt>
                <c:pt idx="9">
                  <c:v>1229.8599999999999</c:v>
                </c:pt>
                <c:pt idx="10">
                  <c:v>1078.22</c:v>
                </c:pt>
                <c:pt idx="11">
                  <c:v>902.81</c:v>
                </c:pt>
                <c:pt idx="12">
                  <c:v>726.62</c:v>
                </c:pt>
                <c:pt idx="13">
                  <c:v>542.44999999999948</c:v>
                </c:pt>
                <c:pt idx="14">
                  <c:v>338.90999999999963</c:v>
                </c:pt>
                <c:pt idx="15">
                  <c:v>203.45000000000007</c:v>
                </c:pt>
                <c:pt idx="16">
                  <c:v>1930.6399999999999</c:v>
                </c:pt>
                <c:pt idx="17">
                  <c:v>1749.32</c:v>
                </c:pt>
                <c:pt idx="18">
                  <c:v>1570.07</c:v>
                </c:pt>
                <c:pt idx="19">
                  <c:v>1409.23</c:v>
                </c:pt>
                <c:pt idx="20">
                  <c:v>1247.47</c:v>
                </c:pt>
                <c:pt idx="21">
                  <c:v>1097.94</c:v>
                </c:pt>
                <c:pt idx="22">
                  <c:v>959.81</c:v>
                </c:pt>
                <c:pt idx="23">
                  <c:v>802.34999999999877</c:v>
                </c:pt>
                <c:pt idx="24">
                  <c:v>641.75</c:v>
                </c:pt>
                <c:pt idx="25">
                  <c:v>479.27</c:v>
                </c:pt>
                <c:pt idx="26">
                  <c:v>295.42999999999927</c:v>
                </c:pt>
                <c:pt idx="27">
                  <c:v>138.97999999999999</c:v>
                </c:pt>
                <c:pt idx="28">
                  <c:v>1850.51</c:v>
                </c:pt>
                <c:pt idx="29">
                  <c:v>1681.56</c:v>
                </c:pt>
                <c:pt idx="30">
                  <c:v>1516.06</c:v>
                </c:pt>
                <c:pt idx="31">
                  <c:v>1363.35</c:v>
                </c:pt>
                <c:pt idx="32">
                  <c:v>1198.3599999999999</c:v>
                </c:pt>
                <c:pt idx="33">
                  <c:v>1060.1799999999998</c:v>
                </c:pt>
                <c:pt idx="34">
                  <c:v>932.52</c:v>
                </c:pt>
                <c:pt idx="35">
                  <c:v>791.62</c:v>
                </c:pt>
                <c:pt idx="36">
                  <c:v>653.39</c:v>
                </c:pt>
                <c:pt idx="37">
                  <c:v>498.38</c:v>
                </c:pt>
                <c:pt idx="38">
                  <c:v>315.54000000000002</c:v>
                </c:pt>
                <c:pt idx="39">
                  <c:v>189.44</c:v>
                </c:pt>
                <c:pt idx="40">
                  <c:v>1806.1899999999998</c:v>
                </c:pt>
                <c:pt idx="41">
                  <c:v>1639.54</c:v>
                </c:pt>
                <c:pt idx="42">
                  <c:v>1467.7</c:v>
                </c:pt>
                <c:pt idx="43">
                  <c:v>1313.84</c:v>
                </c:pt>
                <c:pt idx="44">
                  <c:v>1158.26</c:v>
                </c:pt>
                <c:pt idx="45">
                  <c:v>1026.02</c:v>
                </c:pt>
                <c:pt idx="46">
                  <c:v>901.61</c:v>
                </c:pt>
                <c:pt idx="47">
                  <c:v>760.41</c:v>
                </c:pt>
                <c:pt idx="48">
                  <c:v>616.59</c:v>
                </c:pt>
              </c:numCache>
            </c:numRef>
          </c:val>
        </c:ser>
        <c:axId val="229462016"/>
        <c:axId val="229463552"/>
      </c:barChart>
      <c:lineChart>
        <c:grouping val="standard"/>
        <c:ser>
          <c:idx val="1"/>
          <c:order val="1"/>
          <c:tx>
            <c:v>汽车销量累计同比（右轴）</c:v>
          </c:tx>
          <c:marker>
            <c:symbol val="none"/>
          </c:marker>
          <c:cat>
            <c:numRef>
              <c:f>锌下游!$E$4:$E$52</c:f>
              <c:numCache>
                <c:formatCode>yyyy\-mm;@</c:formatCode>
                <c:ptCount val="49"/>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pt idx="46">
                  <c:v>40359</c:v>
                </c:pt>
                <c:pt idx="47">
                  <c:v>40329</c:v>
                </c:pt>
                <c:pt idx="48">
                  <c:v>40298</c:v>
                </c:pt>
              </c:numCache>
            </c:numRef>
          </c:cat>
          <c:val>
            <c:numRef>
              <c:f>锌下游!$H$4:$H$52</c:f>
              <c:numCache>
                <c:formatCode>###,###,###,###,##0.00</c:formatCode>
                <c:ptCount val="49"/>
                <c:pt idx="0">
                  <c:v>9.07</c:v>
                </c:pt>
                <c:pt idx="1">
                  <c:v>9.18</c:v>
                </c:pt>
                <c:pt idx="2">
                  <c:v>10.729999999999999</c:v>
                </c:pt>
                <c:pt idx="3">
                  <c:v>5.99</c:v>
                </c:pt>
                <c:pt idx="4">
                  <c:v>13.870000000000006</c:v>
                </c:pt>
                <c:pt idx="5">
                  <c:v>13.53</c:v>
                </c:pt>
                <c:pt idx="6">
                  <c:v>13.47</c:v>
                </c:pt>
                <c:pt idx="7">
                  <c:v>12.7</c:v>
                </c:pt>
                <c:pt idx="8">
                  <c:v>11.81</c:v>
                </c:pt>
                <c:pt idx="9">
                  <c:v>12.02</c:v>
                </c:pt>
                <c:pt idx="10">
                  <c:v>12.34</c:v>
                </c:pt>
                <c:pt idx="11">
                  <c:v>12.56</c:v>
                </c:pt>
                <c:pt idx="12">
                  <c:v>13.229999999999999</c:v>
                </c:pt>
                <c:pt idx="13">
                  <c:v>13.18</c:v>
                </c:pt>
                <c:pt idx="14">
                  <c:v>14.719999999999999</c:v>
                </c:pt>
                <c:pt idx="15">
                  <c:v>46.379999999999995</c:v>
                </c:pt>
                <c:pt idx="16">
                  <c:v>4.33</c:v>
                </c:pt>
                <c:pt idx="17">
                  <c:v>4</c:v>
                </c:pt>
                <c:pt idx="18">
                  <c:v>3.56</c:v>
                </c:pt>
                <c:pt idx="19">
                  <c:v>3.3699999999999997</c:v>
                </c:pt>
                <c:pt idx="20">
                  <c:v>4.0999999999999996</c:v>
                </c:pt>
                <c:pt idx="21">
                  <c:v>3.56</c:v>
                </c:pt>
                <c:pt idx="22">
                  <c:v>2.9299999999999997</c:v>
                </c:pt>
                <c:pt idx="23">
                  <c:v>1.7</c:v>
                </c:pt>
                <c:pt idx="24">
                  <c:v>-1.33</c:v>
                </c:pt>
                <c:pt idx="25">
                  <c:v>-3.4</c:v>
                </c:pt>
                <c:pt idx="26">
                  <c:v>-5.96</c:v>
                </c:pt>
                <c:pt idx="27">
                  <c:v>-26.39</c:v>
                </c:pt>
                <c:pt idx="28">
                  <c:v>2.4499999999999997</c:v>
                </c:pt>
                <c:pt idx="29">
                  <c:v>2.56</c:v>
                </c:pt>
                <c:pt idx="30">
                  <c:v>3.15</c:v>
                </c:pt>
                <c:pt idx="31">
                  <c:v>3.62</c:v>
                </c:pt>
                <c:pt idx="32">
                  <c:v>3.3299999999999987</c:v>
                </c:pt>
                <c:pt idx="33">
                  <c:v>3.22</c:v>
                </c:pt>
                <c:pt idx="34">
                  <c:v>3.3499999999999988</c:v>
                </c:pt>
                <c:pt idx="35">
                  <c:v>4.0599999999999996</c:v>
                </c:pt>
                <c:pt idx="36">
                  <c:v>5.95</c:v>
                </c:pt>
                <c:pt idx="37">
                  <c:v>8.08</c:v>
                </c:pt>
                <c:pt idx="38">
                  <c:v>9.7100000000000009</c:v>
                </c:pt>
                <c:pt idx="39">
                  <c:v>13.81</c:v>
                </c:pt>
                <c:pt idx="40">
                  <c:v>32.370000000000005</c:v>
                </c:pt>
                <c:pt idx="41">
                  <c:v>34.050000000000004</c:v>
                </c:pt>
                <c:pt idx="42">
                  <c:v>34.760000000000012</c:v>
                </c:pt>
                <c:pt idx="43">
                  <c:v>35.97</c:v>
                </c:pt>
                <c:pt idx="44">
                  <c:v>39.020000000000003</c:v>
                </c:pt>
                <c:pt idx="45">
                  <c:v>42.65</c:v>
                </c:pt>
                <c:pt idx="46">
                  <c:v>47.67</c:v>
                </c:pt>
                <c:pt idx="47">
                  <c:v>53.25</c:v>
                </c:pt>
                <c:pt idx="48">
                  <c:v>60.51</c:v>
                </c:pt>
              </c:numCache>
            </c:numRef>
          </c:val>
        </c:ser>
        <c:marker val="1"/>
        <c:axId val="229466880"/>
        <c:axId val="229465088"/>
      </c:lineChart>
      <c:dateAx>
        <c:axId val="229462016"/>
        <c:scaling>
          <c:orientation val="minMax"/>
        </c:scaling>
        <c:axPos val="b"/>
        <c:numFmt formatCode="yyyy\-mm;@" sourceLinked="1"/>
        <c:tickLblPos val="nextTo"/>
        <c:txPr>
          <a:bodyPr/>
          <a:lstStyle/>
          <a:p>
            <a:pPr>
              <a:defRPr sz="800"/>
            </a:pPr>
            <a:endParaRPr lang="zh-CN"/>
          </a:p>
        </c:txPr>
        <c:crossAx val="229463552"/>
        <c:crosses val="autoZero"/>
        <c:auto val="1"/>
        <c:lblOffset val="100"/>
      </c:dateAx>
      <c:valAx>
        <c:axId val="229463552"/>
        <c:scaling>
          <c:orientation val="minMax"/>
        </c:scaling>
        <c:axPos val="l"/>
        <c:majorGridlines/>
        <c:numFmt formatCode="General" sourceLinked="0"/>
        <c:tickLblPos val="nextTo"/>
        <c:txPr>
          <a:bodyPr/>
          <a:lstStyle/>
          <a:p>
            <a:pPr>
              <a:defRPr sz="800"/>
            </a:pPr>
            <a:endParaRPr lang="zh-CN"/>
          </a:p>
        </c:txPr>
        <c:crossAx val="229462016"/>
        <c:crosses val="autoZero"/>
        <c:crossBetween val="between"/>
      </c:valAx>
      <c:valAx>
        <c:axId val="229465088"/>
        <c:scaling>
          <c:orientation val="minMax"/>
        </c:scaling>
        <c:axPos val="r"/>
        <c:numFmt formatCode="General" sourceLinked="0"/>
        <c:tickLblPos val="nextTo"/>
        <c:txPr>
          <a:bodyPr/>
          <a:lstStyle/>
          <a:p>
            <a:pPr>
              <a:defRPr sz="800"/>
            </a:pPr>
            <a:endParaRPr lang="zh-CN"/>
          </a:p>
        </c:txPr>
        <c:crossAx val="229466880"/>
        <c:crosses val="max"/>
        <c:crossBetween val="between"/>
      </c:valAx>
      <c:dateAx>
        <c:axId val="229466880"/>
        <c:scaling>
          <c:orientation val="minMax"/>
        </c:scaling>
        <c:delete val="1"/>
        <c:axPos val="b"/>
        <c:numFmt formatCode="yyyy\-mm;@" sourceLinked="1"/>
        <c:tickLblPos val="none"/>
        <c:crossAx val="229465088"/>
        <c:crosses val="autoZero"/>
        <c:auto val="1"/>
        <c:lblOffset val="100"/>
      </c:dateAx>
    </c:plotArea>
    <c:legend>
      <c:legendPos val="t"/>
      <c:layout>
        <c:manualLayout>
          <c:xMode val="edge"/>
          <c:yMode val="edge"/>
          <c:x val="4.9999862749350095E-2"/>
          <c:y val="0"/>
          <c:w val="0.9"/>
          <c:h val="0.14576593469532886"/>
        </c:manualLayout>
      </c:layout>
      <c:txPr>
        <a:bodyPr/>
        <a:lstStyle/>
        <a:p>
          <a:pPr>
            <a:defRPr sz="800"/>
          </a:pPr>
          <a:endParaRPr lang="zh-CN"/>
        </a:p>
      </c:txPr>
    </c:legend>
    <c:plotVisOnly val="1"/>
    <c:dispBlanksAs val="gap"/>
  </c:chart>
  <c:spPr>
    <a:ln>
      <a:noFill/>
    </a:ln>
  </c:spPr>
  <c:txPr>
    <a:bodyPr/>
    <a:lstStyle/>
    <a:p>
      <a:pPr>
        <a:defRPr sz="700" baseline="0"/>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3278174212598423"/>
          <c:y val="0.1929711386010422"/>
          <c:w val="0.7733435168179037"/>
          <c:h val="0.58438466025080149"/>
        </c:manualLayout>
      </c:layout>
      <c:barChart>
        <c:barDir val="col"/>
        <c:grouping val="clustered"/>
        <c:ser>
          <c:idx val="1"/>
          <c:order val="1"/>
          <c:tx>
            <c:strRef>
              <c:f>房地产!$J$1</c:f>
              <c:strCache>
                <c:ptCount val="1"/>
                <c:pt idx="0">
                  <c:v>房地产开发投资完成额累计值</c:v>
                </c:pt>
              </c:strCache>
            </c:strRef>
          </c:tx>
          <c:cat>
            <c:numRef>
              <c:f>房地产!$H$11:$H$98</c:f>
              <c:numCache>
                <c:formatCode>yyyy\-mm;@</c:formatCode>
                <c:ptCount val="88"/>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40908</c:v>
                </c:pt>
                <c:pt idx="26">
                  <c:v>40877</c:v>
                </c:pt>
                <c:pt idx="27">
                  <c:v>40847</c:v>
                </c:pt>
                <c:pt idx="28">
                  <c:v>40816</c:v>
                </c:pt>
                <c:pt idx="29">
                  <c:v>40786</c:v>
                </c:pt>
                <c:pt idx="30">
                  <c:v>40755</c:v>
                </c:pt>
                <c:pt idx="31">
                  <c:v>40724</c:v>
                </c:pt>
                <c:pt idx="32">
                  <c:v>40694</c:v>
                </c:pt>
                <c:pt idx="33">
                  <c:v>40663</c:v>
                </c:pt>
                <c:pt idx="34">
                  <c:v>40633</c:v>
                </c:pt>
                <c:pt idx="35">
                  <c:v>40602</c:v>
                </c:pt>
                <c:pt idx="36">
                  <c:v>40543</c:v>
                </c:pt>
                <c:pt idx="37">
                  <c:v>40512</c:v>
                </c:pt>
                <c:pt idx="38">
                  <c:v>40482</c:v>
                </c:pt>
                <c:pt idx="39">
                  <c:v>40451</c:v>
                </c:pt>
                <c:pt idx="40">
                  <c:v>40421</c:v>
                </c:pt>
                <c:pt idx="41">
                  <c:v>40390</c:v>
                </c:pt>
                <c:pt idx="42">
                  <c:v>40359</c:v>
                </c:pt>
                <c:pt idx="43">
                  <c:v>40329</c:v>
                </c:pt>
                <c:pt idx="44">
                  <c:v>40298</c:v>
                </c:pt>
                <c:pt idx="45">
                  <c:v>40268</c:v>
                </c:pt>
                <c:pt idx="46">
                  <c:v>40237</c:v>
                </c:pt>
                <c:pt idx="47">
                  <c:v>40178</c:v>
                </c:pt>
                <c:pt idx="48">
                  <c:v>40147</c:v>
                </c:pt>
                <c:pt idx="49">
                  <c:v>40117</c:v>
                </c:pt>
                <c:pt idx="50">
                  <c:v>40086</c:v>
                </c:pt>
                <c:pt idx="51">
                  <c:v>40056</c:v>
                </c:pt>
                <c:pt idx="52">
                  <c:v>40025</c:v>
                </c:pt>
                <c:pt idx="53">
                  <c:v>39994</c:v>
                </c:pt>
                <c:pt idx="54">
                  <c:v>39964</c:v>
                </c:pt>
                <c:pt idx="55">
                  <c:v>39933</c:v>
                </c:pt>
                <c:pt idx="56">
                  <c:v>39903</c:v>
                </c:pt>
                <c:pt idx="57">
                  <c:v>39872</c:v>
                </c:pt>
                <c:pt idx="58">
                  <c:v>39813</c:v>
                </c:pt>
                <c:pt idx="59">
                  <c:v>39782</c:v>
                </c:pt>
                <c:pt idx="60">
                  <c:v>39752</c:v>
                </c:pt>
                <c:pt idx="61">
                  <c:v>39721</c:v>
                </c:pt>
                <c:pt idx="62">
                  <c:v>39691</c:v>
                </c:pt>
                <c:pt idx="63">
                  <c:v>39660</c:v>
                </c:pt>
                <c:pt idx="64">
                  <c:v>39629</c:v>
                </c:pt>
                <c:pt idx="65">
                  <c:v>39599</c:v>
                </c:pt>
                <c:pt idx="66">
                  <c:v>39568</c:v>
                </c:pt>
                <c:pt idx="67">
                  <c:v>39538</c:v>
                </c:pt>
                <c:pt idx="68">
                  <c:v>39507</c:v>
                </c:pt>
                <c:pt idx="69">
                  <c:v>39478</c:v>
                </c:pt>
                <c:pt idx="70">
                  <c:v>39447</c:v>
                </c:pt>
                <c:pt idx="71">
                  <c:v>39416</c:v>
                </c:pt>
                <c:pt idx="72">
                  <c:v>39386</c:v>
                </c:pt>
                <c:pt idx="73">
                  <c:v>39355</c:v>
                </c:pt>
                <c:pt idx="74">
                  <c:v>39325</c:v>
                </c:pt>
                <c:pt idx="75">
                  <c:v>39294</c:v>
                </c:pt>
                <c:pt idx="76">
                  <c:v>39263</c:v>
                </c:pt>
                <c:pt idx="77">
                  <c:v>39233</c:v>
                </c:pt>
                <c:pt idx="78">
                  <c:v>39202</c:v>
                </c:pt>
                <c:pt idx="79">
                  <c:v>39172</c:v>
                </c:pt>
                <c:pt idx="80">
                  <c:v>39141</c:v>
                </c:pt>
                <c:pt idx="81">
                  <c:v>39113</c:v>
                </c:pt>
                <c:pt idx="82">
                  <c:v>39082</c:v>
                </c:pt>
                <c:pt idx="83">
                  <c:v>39051</c:v>
                </c:pt>
                <c:pt idx="84">
                  <c:v>39021</c:v>
                </c:pt>
                <c:pt idx="85">
                  <c:v>38990</c:v>
                </c:pt>
                <c:pt idx="86">
                  <c:v>38960</c:v>
                </c:pt>
                <c:pt idx="87">
                  <c:v>38929</c:v>
                </c:pt>
              </c:numCache>
            </c:numRef>
          </c:cat>
          <c:val>
            <c:numRef>
              <c:f>房地产!$J$11:$J$90</c:f>
              <c:numCache>
                <c:formatCode>###,###,###,###,##0.00</c:formatCode>
                <c:ptCount val="80"/>
                <c:pt idx="0">
                  <c:v>22321.555899999999</c:v>
                </c:pt>
                <c:pt idx="1">
                  <c:v>15339.243300000016</c:v>
                </c:pt>
                <c:pt idx="2">
                  <c:v>7955.9833000000008</c:v>
                </c:pt>
                <c:pt idx="3">
                  <c:v>86013.382599999968</c:v>
                </c:pt>
                <c:pt idx="4">
                  <c:v>77412.164099999995</c:v>
                </c:pt>
                <c:pt idx="5">
                  <c:v>68693.182000000001</c:v>
                </c:pt>
                <c:pt idx="6">
                  <c:v>61119.547399999996</c:v>
                </c:pt>
                <c:pt idx="7">
                  <c:v>52119.765899999999</c:v>
                </c:pt>
                <c:pt idx="8">
                  <c:v>44301.575000000004</c:v>
                </c:pt>
                <c:pt idx="9">
                  <c:v>36827.935300000005</c:v>
                </c:pt>
                <c:pt idx="10">
                  <c:v>26797.973300000001</c:v>
                </c:pt>
                <c:pt idx="11">
                  <c:v>19180.141100000001</c:v>
                </c:pt>
                <c:pt idx="12">
                  <c:v>13132.5735</c:v>
                </c:pt>
                <c:pt idx="13">
                  <c:v>6669.7035000000005</c:v>
                </c:pt>
                <c:pt idx="14">
                  <c:v>71803.786899999948</c:v>
                </c:pt>
                <c:pt idx="15">
                  <c:v>64772.400600000001</c:v>
                </c:pt>
                <c:pt idx="16">
                  <c:v>57628.750400000004</c:v>
                </c:pt>
                <c:pt idx="17">
                  <c:v>51045.925399999993</c:v>
                </c:pt>
                <c:pt idx="18">
                  <c:v>43687.879700000005</c:v>
                </c:pt>
                <c:pt idx="19">
                  <c:v>36774.4761</c:v>
                </c:pt>
                <c:pt idx="20">
                  <c:v>30609.828600000001</c:v>
                </c:pt>
                <c:pt idx="21">
                  <c:v>22212.925200000001</c:v>
                </c:pt>
                <c:pt idx="22">
                  <c:v>15835.1867</c:v>
                </c:pt>
                <c:pt idx="23">
                  <c:v>10927.165199999969</c:v>
                </c:pt>
                <c:pt idx="24">
                  <c:v>5431.4591</c:v>
                </c:pt>
                <c:pt idx="25">
                  <c:v>61796.9</c:v>
                </c:pt>
                <c:pt idx="26">
                  <c:v>55483.03</c:v>
                </c:pt>
                <c:pt idx="27">
                  <c:v>49922.82</c:v>
                </c:pt>
                <c:pt idx="28">
                  <c:v>44224.840000000011</c:v>
                </c:pt>
                <c:pt idx="29">
                  <c:v>37780.840000000011</c:v>
                </c:pt>
                <c:pt idx="30">
                  <c:v>31873.03</c:v>
                </c:pt>
                <c:pt idx="31">
                  <c:v>26250.45</c:v>
                </c:pt>
                <c:pt idx="32">
                  <c:v>18737.23</c:v>
                </c:pt>
                <c:pt idx="33">
                  <c:v>13340.16</c:v>
                </c:pt>
                <c:pt idx="34">
                  <c:v>8846.3599999999587</c:v>
                </c:pt>
                <c:pt idx="35">
                  <c:v>4250.37</c:v>
                </c:pt>
                <c:pt idx="36">
                  <c:v>48259.4</c:v>
                </c:pt>
                <c:pt idx="37">
                  <c:v>42697.33</c:v>
                </c:pt>
                <c:pt idx="38">
                  <c:v>38069.520000000004</c:v>
                </c:pt>
                <c:pt idx="39">
                  <c:v>33511.25</c:v>
                </c:pt>
                <c:pt idx="40">
                  <c:v>28355.05</c:v>
                </c:pt>
                <c:pt idx="41">
                  <c:v>23864.77</c:v>
                </c:pt>
                <c:pt idx="42">
                  <c:v>19747.12</c:v>
                </c:pt>
                <c:pt idx="43">
                  <c:v>13917.41</c:v>
                </c:pt>
                <c:pt idx="44">
                  <c:v>9932.0499999999811</c:v>
                </c:pt>
                <c:pt idx="45">
                  <c:v>6594.45</c:v>
                </c:pt>
                <c:pt idx="46">
                  <c:v>3143.64</c:v>
                </c:pt>
                <c:pt idx="47">
                  <c:v>36241.800000000003</c:v>
                </c:pt>
                <c:pt idx="48">
                  <c:v>31270.920000000009</c:v>
                </c:pt>
                <c:pt idx="49">
                  <c:v>27886.58</c:v>
                </c:pt>
                <c:pt idx="50">
                  <c:v>24560</c:v>
                </c:pt>
                <c:pt idx="51">
                  <c:v>20740.939999999959</c:v>
                </c:pt>
                <c:pt idx="52">
                  <c:v>17392.3</c:v>
                </c:pt>
                <c:pt idx="53">
                  <c:v>14295.41</c:v>
                </c:pt>
                <c:pt idx="54">
                  <c:v>10067.219999999987</c:v>
                </c:pt>
                <c:pt idx="55">
                  <c:v>7289.98</c:v>
                </c:pt>
                <c:pt idx="56">
                  <c:v>4880.29</c:v>
                </c:pt>
                <c:pt idx="57">
                  <c:v>2398.15</c:v>
                </c:pt>
                <c:pt idx="58">
                  <c:v>31203.200000000001</c:v>
                </c:pt>
                <c:pt idx="59">
                  <c:v>26545.73</c:v>
                </c:pt>
                <c:pt idx="60">
                  <c:v>23917.71</c:v>
                </c:pt>
                <c:pt idx="61">
                  <c:v>21277.69</c:v>
                </c:pt>
                <c:pt idx="62">
                  <c:v>18429.97</c:v>
                </c:pt>
                <c:pt idx="63">
                  <c:v>15883.54</c:v>
                </c:pt>
                <c:pt idx="64">
                  <c:v>13195.67</c:v>
                </c:pt>
                <c:pt idx="65">
                  <c:v>9519.2800000000007</c:v>
                </c:pt>
                <c:pt idx="66">
                  <c:v>6952.08</c:v>
                </c:pt>
                <c:pt idx="67">
                  <c:v>4687.75</c:v>
                </c:pt>
                <c:pt idx="68">
                  <c:v>2373.7199999999998</c:v>
                </c:pt>
                <c:pt idx="69">
                  <c:v>0</c:v>
                </c:pt>
                <c:pt idx="70">
                  <c:v>25288.799999999996</c:v>
                </c:pt>
                <c:pt idx="71">
                  <c:v>21631.88</c:v>
                </c:pt>
                <c:pt idx="72">
                  <c:v>19192.21</c:v>
                </c:pt>
                <c:pt idx="73">
                  <c:v>16814.05</c:v>
                </c:pt>
                <c:pt idx="74">
                  <c:v>14276.75</c:v>
                </c:pt>
                <c:pt idx="75">
                  <c:v>12134.720000000008</c:v>
                </c:pt>
                <c:pt idx="76">
                  <c:v>9887.2300000000068</c:v>
                </c:pt>
                <c:pt idx="77">
                  <c:v>7214.3600000000024</c:v>
                </c:pt>
                <c:pt idx="78">
                  <c:v>5264.6100000000024</c:v>
                </c:pt>
                <c:pt idx="79">
                  <c:v>3543.7799999999997</c:v>
                </c:pt>
              </c:numCache>
            </c:numRef>
          </c:val>
        </c:ser>
        <c:ser>
          <c:idx val="3"/>
          <c:order val="3"/>
          <c:tx>
            <c:strRef>
              <c:f>房地产!$L$1</c:f>
              <c:strCache>
                <c:ptCount val="1"/>
                <c:pt idx="0">
                  <c:v>本年购置土地面积累计值</c:v>
                </c:pt>
              </c:strCache>
            </c:strRef>
          </c:tx>
          <c:cat>
            <c:numRef>
              <c:f>房地产!$H$11:$H$98</c:f>
              <c:numCache>
                <c:formatCode>yyyy\-mm;@</c:formatCode>
                <c:ptCount val="88"/>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40908</c:v>
                </c:pt>
                <c:pt idx="26">
                  <c:v>40877</c:v>
                </c:pt>
                <c:pt idx="27">
                  <c:v>40847</c:v>
                </c:pt>
                <c:pt idx="28">
                  <c:v>40816</c:v>
                </c:pt>
                <c:pt idx="29">
                  <c:v>40786</c:v>
                </c:pt>
                <c:pt idx="30">
                  <c:v>40755</c:v>
                </c:pt>
                <c:pt idx="31">
                  <c:v>40724</c:v>
                </c:pt>
                <c:pt idx="32">
                  <c:v>40694</c:v>
                </c:pt>
                <c:pt idx="33">
                  <c:v>40663</c:v>
                </c:pt>
                <c:pt idx="34">
                  <c:v>40633</c:v>
                </c:pt>
                <c:pt idx="35">
                  <c:v>40602</c:v>
                </c:pt>
                <c:pt idx="36">
                  <c:v>40543</c:v>
                </c:pt>
                <c:pt idx="37">
                  <c:v>40512</c:v>
                </c:pt>
                <c:pt idx="38">
                  <c:v>40482</c:v>
                </c:pt>
                <c:pt idx="39">
                  <c:v>40451</c:v>
                </c:pt>
                <c:pt idx="40">
                  <c:v>40421</c:v>
                </c:pt>
                <c:pt idx="41">
                  <c:v>40390</c:v>
                </c:pt>
                <c:pt idx="42">
                  <c:v>40359</c:v>
                </c:pt>
                <c:pt idx="43">
                  <c:v>40329</c:v>
                </c:pt>
                <c:pt idx="44">
                  <c:v>40298</c:v>
                </c:pt>
                <c:pt idx="45">
                  <c:v>40268</c:v>
                </c:pt>
                <c:pt idx="46">
                  <c:v>40237</c:v>
                </c:pt>
                <c:pt idx="47">
                  <c:v>40178</c:v>
                </c:pt>
                <c:pt idx="48">
                  <c:v>40147</c:v>
                </c:pt>
                <c:pt idx="49">
                  <c:v>40117</c:v>
                </c:pt>
                <c:pt idx="50">
                  <c:v>40086</c:v>
                </c:pt>
                <c:pt idx="51">
                  <c:v>40056</c:v>
                </c:pt>
                <c:pt idx="52">
                  <c:v>40025</c:v>
                </c:pt>
                <c:pt idx="53">
                  <c:v>39994</c:v>
                </c:pt>
                <c:pt idx="54">
                  <c:v>39964</c:v>
                </c:pt>
                <c:pt idx="55">
                  <c:v>39933</c:v>
                </c:pt>
                <c:pt idx="56">
                  <c:v>39903</c:v>
                </c:pt>
                <c:pt idx="57">
                  <c:v>39872</c:v>
                </c:pt>
                <c:pt idx="58">
                  <c:v>39813</c:v>
                </c:pt>
                <c:pt idx="59">
                  <c:v>39782</c:v>
                </c:pt>
                <c:pt idx="60">
                  <c:v>39752</c:v>
                </c:pt>
                <c:pt idx="61">
                  <c:v>39721</c:v>
                </c:pt>
                <c:pt idx="62">
                  <c:v>39691</c:v>
                </c:pt>
                <c:pt idx="63">
                  <c:v>39660</c:v>
                </c:pt>
                <c:pt idx="64">
                  <c:v>39629</c:v>
                </c:pt>
                <c:pt idx="65">
                  <c:v>39599</c:v>
                </c:pt>
                <c:pt idx="66">
                  <c:v>39568</c:v>
                </c:pt>
                <c:pt idx="67">
                  <c:v>39538</c:v>
                </c:pt>
                <c:pt idx="68">
                  <c:v>39507</c:v>
                </c:pt>
                <c:pt idx="69">
                  <c:v>39478</c:v>
                </c:pt>
                <c:pt idx="70">
                  <c:v>39447</c:v>
                </c:pt>
                <c:pt idx="71">
                  <c:v>39416</c:v>
                </c:pt>
                <c:pt idx="72">
                  <c:v>39386</c:v>
                </c:pt>
                <c:pt idx="73">
                  <c:v>39355</c:v>
                </c:pt>
                <c:pt idx="74">
                  <c:v>39325</c:v>
                </c:pt>
                <c:pt idx="75">
                  <c:v>39294</c:v>
                </c:pt>
                <c:pt idx="76">
                  <c:v>39263</c:v>
                </c:pt>
                <c:pt idx="77">
                  <c:v>39233</c:v>
                </c:pt>
                <c:pt idx="78">
                  <c:v>39202</c:v>
                </c:pt>
                <c:pt idx="79">
                  <c:v>39172</c:v>
                </c:pt>
                <c:pt idx="80">
                  <c:v>39141</c:v>
                </c:pt>
                <c:pt idx="81">
                  <c:v>39113</c:v>
                </c:pt>
                <c:pt idx="82">
                  <c:v>39082</c:v>
                </c:pt>
                <c:pt idx="83">
                  <c:v>39051</c:v>
                </c:pt>
                <c:pt idx="84">
                  <c:v>39021</c:v>
                </c:pt>
                <c:pt idx="85">
                  <c:v>38990</c:v>
                </c:pt>
                <c:pt idx="86">
                  <c:v>38960</c:v>
                </c:pt>
                <c:pt idx="87">
                  <c:v>38929</c:v>
                </c:pt>
              </c:numCache>
            </c:numRef>
          </c:cat>
          <c:val>
            <c:numRef>
              <c:f>房地产!$L$11:$L$90</c:f>
              <c:numCache>
                <c:formatCode>###,###,###,###,##0.00</c:formatCode>
                <c:ptCount val="80"/>
                <c:pt idx="0">
                  <c:v>8130.4058000000005</c:v>
                </c:pt>
                <c:pt idx="1">
                  <c:v>5989.6431000000002</c:v>
                </c:pt>
                <c:pt idx="2">
                  <c:v>4062.0225999999998</c:v>
                </c:pt>
                <c:pt idx="3">
                  <c:v>38814.381100000006</c:v>
                </c:pt>
                <c:pt idx="4">
                  <c:v>34772.788500000002</c:v>
                </c:pt>
                <c:pt idx="5">
                  <c:v>26657.5406</c:v>
                </c:pt>
                <c:pt idx="6">
                  <c:v>25166.630899999996</c:v>
                </c:pt>
                <c:pt idx="7">
                  <c:v>21482.2935</c:v>
                </c:pt>
                <c:pt idx="8">
                  <c:v>18716.9503</c:v>
                </c:pt>
                <c:pt idx="9">
                  <c:v>15721.48579999998</c:v>
                </c:pt>
                <c:pt idx="10">
                  <c:v>11755.9321</c:v>
                </c:pt>
                <c:pt idx="11">
                  <c:v>8824.9346000000005</c:v>
                </c:pt>
                <c:pt idx="12">
                  <c:v>6133.7441000000008</c:v>
                </c:pt>
                <c:pt idx="13">
                  <c:v>3812.7109999999998</c:v>
                </c:pt>
                <c:pt idx="14">
                  <c:v>35666.796399999999</c:v>
                </c:pt>
                <c:pt idx="15">
                  <c:v>31638.01939999995</c:v>
                </c:pt>
                <c:pt idx="16">
                  <c:v>27659.402099999999</c:v>
                </c:pt>
                <c:pt idx="17">
                  <c:v>26033.318899999998</c:v>
                </c:pt>
                <c:pt idx="18">
                  <c:v>23623.628100000005</c:v>
                </c:pt>
                <c:pt idx="19">
                  <c:v>18982.058799999999</c:v>
                </c:pt>
                <c:pt idx="20">
                  <c:v>17543.185600000001</c:v>
                </c:pt>
                <c:pt idx="21">
                  <c:v>13532.1409</c:v>
                </c:pt>
                <c:pt idx="22">
                  <c:v>9657.3177999999789</c:v>
                </c:pt>
                <c:pt idx="23">
                  <c:v>7858.8719000000001</c:v>
                </c:pt>
                <c:pt idx="24">
                  <c:v>4683.9169000000002</c:v>
                </c:pt>
                <c:pt idx="25">
                  <c:v>44327.442000000003</c:v>
                </c:pt>
                <c:pt idx="26">
                  <c:v>37153.410000000003</c:v>
                </c:pt>
                <c:pt idx="27">
                  <c:v>33747.96</c:v>
                </c:pt>
                <c:pt idx="28">
                  <c:v>31184.02</c:v>
                </c:pt>
                <c:pt idx="29">
                  <c:v>28177.24</c:v>
                </c:pt>
                <c:pt idx="30">
                  <c:v>25089.040000000001</c:v>
                </c:pt>
                <c:pt idx="31">
                  <c:v>21909.8</c:v>
                </c:pt>
                <c:pt idx="32">
                  <c:v>16638.240000000005</c:v>
                </c:pt>
                <c:pt idx="33">
                  <c:v>11970.03</c:v>
                </c:pt>
                <c:pt idx="34">
                  <c:v>8180.78</c:v>
                </c:pt>
                <c:pt idx="35">
                  <c:v>3780.3500000000022</c:v>
                </c:pt>
                <c:pt idx="36">
                  <c:v>39953.1</c:v>
                </c:pt>
                <c:pt idx="37">
                  <c:v>36080.14</c:v>
                </c:pt>
                <c:pt idx="38">
                  <c:v>32778.129999999997</c:v>
                </c:pt>
                <c:pt idx="39">
                  <c:v>29083.09</c:v>
                </c:pt>
                <c:pt idx="40">
                  <c:v>25690.829999999958</c:v>
                </c:pt>
                <c:pt idx="41">
                  <c:v>21746.7</c:v>
                </c:pt>
                <c:pt idx="42">
                  <c:v>18501.23</c:v>
                </c:pt>
                <c:pt idx="43">
                  <c:v>12942.54</c:v>
                </c:pt>
                <c:pt idx="44">
                  <c:v>9182.58</c:v>
                </c:pt>
                <c:pt idx="45">
                  <c:v>6165.98</c:v>
                </c:pt>
                <c:pt idx="46">
                  <c:v>2406.62</c:v>
                </c:pt>
                <c:pt idx="47">
                  <c:v>31909.5</c:v>
                </c:pt>
                <c:pt idx="48">
                  <c:v>27091.47</c:v>
                </c:pt>
                <c:pt idx="49">
                  <c:v>24071.649999999954</c:v>
                </c:pt>
                <c:pt idx="50">
                  <c:v>21451.1</c:v>
                </c:pt>
                <c:pt idx="51">
                  <c:v>18630.669999999955</c:v>
                </c:pt>
                <c:pt idx="52">
                  <c:v>16308.5</c:v>
                </c:pt>
                <c:pt idx="53">
                  <c:v>13643.98</c:v>
                </c:pt>
                <c:pt idx="54">
                  <c:v>9874.77</c:v>
                </c:pt>
                <c:pt idx="55">
                  <c:v>7266.1</c:v>
                </c:pt>
                <c:pt idx="56">
                  <c:v>4741.6500000000024</c:v>
                </c:pt>
                <c:pt idx="57">
                  <c:v>2288.0700000000002</c:v>
                </c:pt>
                <c:pt idx="58">
                  <c:v>39353.4</c:v>
                </c:pt>
                <c:pt idx="59">
                  <c:v>32016.5</c:v>
                </c:pt>
                <c:pt idx="60">
                  <c:v>29596.12</c:v>
                </c:pt>
                <c:pt idx="61">
                  <c:v>27536.73</c:v>
                </c:pt>
                <c:pt idx="62">
                  <c:v>24942.10999999995</c:v>
                </c:pt>
                <c:pt idx="63">
                  <c:v>21973.8</c:v>
                </c:pt>
                <c:pt idx="64">
                  <c:v>18560.980000000021</c:v>
                </c:pt>
                <c:pt idx="65">
                  <c:v>13835.17</c:v>
                </c:pt>
                <c:pt idx="66">
                  <c:v>10175.67</c:v>
                </c:pt>
                <c:pt idx="67">
                  <c:v>7922.14</c:v>
                </c:pt>
                <c:pt idx="68">
                  <c:v>3270.3100000000022</c:v>
                </c:pt>
                <c:pt idx="69">
                  <c:v>0</c:v>
                </c:pt>
                <c:pt idx="70">
                  <c:v>40245.850000000013</c:v>
                </c:pt>
                <c:pt idx="71">
                  <c:v>34031.03</c:v>
                </c:pt>
                <c:pt idx="72">
                  <c:v>31350.79</c:v>
                </c:pt>
                <c:pt idx="73">
                  <c:v>28346.35</c:v>
                </c:pt>
                <c:pt idx="74">
                  <c:v>24290.07</c:v>
                </c:pt>
                <c:pt idx="75">
                  <c:v>20880.439999999959</c:v>
                </c:pt>
                <c:pt idx="76">
                  <c:v>17251.82</c:v>
                </c:pt>
                <c:pt idx="77">
                  <c:v>12169.88</c:v>
                </c:pt>
                <c:pt idx="78">
                  <c:v>9162.9499999999789</c:v>
                </c:pt>
                <c:pt idx="79">
                  <c:v>6110.04</c:v>
                </c:pt>
              </c:numCache>
            </c:numRef>
          </c:val>
        </c:ser>
        <c:axId val="229500032"/>
        <c:axId val="229501568"/>
      </c:barChart>
      <c:lineChart>
        <c:grouping val="standard"/>
        <c:ser>
          <c:idx val="0"/>
          <c:order val="0"/>
          <c:tx>
            <c:strRef>
              <c:f>房地产!$I$4</c:f>
              <c:strCache>
                <c:ptCount val="1"/>
                <c:pt idx="0">
                  <c:v>国房景气指数</c:v>
                </c:pt>
              </c:strCache>
            </c:strRef>
          </c:tx>
          <c:marker>
            <c:symbol val="none"/>
          </c:marker>
          <c:cat>
            <c:numRef>
              <c:f>房地产!$H$11:$H$90</c:f>
              <c:numCache>
                <c:formatCode>yyyy\-mm;@</c:formatCode>
                <c:ptCount val="80"/>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40908</c:v>
                </c:pt>
                <c:pt idx="26">
                  <c:v>40877</c:v>
                </c:pt>
                <c:pt idx="27">
                  <c:v>40847</c:v>
                </c:pt>
                <c:pt idx="28">
                  <c:v>40816</c:v>
                </c:pt>
                <c:pt idx="29">
                  <c:v>40786</c:v>
                </c:pt>
                <c:pt idx="30">
                  <c:v>40755</c:v>
                </c:pt>
                <c:pt idx="31">
                  <c:v>40724</c:v>
                </c:pt>
                <c:pt idx="32">
                  <c:v>40694</c:v>
                </c:pt>
                <c:pt idx="33">
                  <c:v>40663</c:v>
                </c:pt>
                <c:pt idx="34">
                  <c:v>40633</c:v>
                </c:pt>
                <c:pt idx="35">
                  <c:v>40602</c:v>
                </c:pt>
                <c:pt idx="36">
                  <c:v>40543</c:v>
                </c:pt>
                <c:pt idx="37">
                  <c:v>40512</c:v>
                </c:pt>
                <c:pt idx="38">
                  <c:v>40482</c:v>
                </c:pt>
                <c:pt idx="39">
                  <c:v>40451</c:v>
                </c:pt>
                <c:pt idx="40">
                  <c:v>40421</c:v>
                </c:pt>
                <c:pt idx="41">
                  <c:v>40390</c:v>
                </c:pt>
                <c:pt idx="42">
                  <c:v>40359</c:v>
                </c:pt>
                <c:pt idx="43">
                  <c:v>40329</c:v>
                </c:pt>
                <c:pt idx="44">
                  <c:v>40298</c:v>
                </c:pt>
                <c:pt idx="45">
                  <c:v>40268</c:v>
                </c:pt>
                <c:pt idx="46">
                  <c:v>40237</c:v>
                </c:pt>
                <c:pt idx="47">
                  <c:v>40178</c:v>
                </c:pt>
                <c:pt idx="48">
                  <c:v>40147</c:v>
                </c:pt>
                <c:pt idx="49">
                  <c:v>40117</c:v>
                </c:pt>
                <c:pt idx="50">
                  <c:v>40086</c:v>
                </c:pt>
                <c:pt idx="51">
                  <c:v>40056</c:v>
                </c:pt>
                <c:pt idx="52">
                  <c:v>40025</c:v>
                </c:pt>
                <c:pt idx="53">
                  <c:v>39994</c:v>
                </c:pt>
                <c:pt idx="54">
                  <c:v>39964</c:v>
                </c:pt>
                <c:pt idx="55">
                  <c:v>39933</c:v>
                </c:pt>
                <c:pt idx="56">
                  <c:v>39903</c:v>
                </c:pt>
                <c:pt idx="57">
                  <c:v>39872</c:v>
                </c:pt>
                <c:pt idx="58">
                  <c:v>39813</c:v>
                </c:pt>
                <c:pt idx="59">
                  <c:v>39782</c:v>
                </c:pt>
                <c:pt idx="60">
                  <c:v>39752</c:v>
                </c:pt>
                <c:pt idx="61">
                  <c:v>39721</c:v>
                </c:pt>
                <c:pt idx="62">
                  <c:v>39691</c:v>
                </c:pt>
                <c:pt idx="63">
                  <c:v>39660</c:v>
                </c:pt>
                <c:pt idx="64">
                  <c:v>39629</c:v>
                </c:pt>
                <c:pt idx="65">
                  <c:v>39599</c:v>
                </c:pt>
                <c:pt idx="66">
                  <c:v>39568</c:v>
                </c:pt>
                <c:pt idx="67">
                  <c:v>39538</c:v>
                </c:pt>
                <c:pt idx="68">
                  <c:v>39507</c:v>
                </c:pt>
                <c:pt idx="69">
                  <c:v>39478</c:v>
                </c:pt>
                <c:pt idx="70">
                  <c:v>39447</c:v>
                </c:pt>
                <c:pt idx="71">
                  <c:v>39416</c:v>
                </c:pt>
                <c:pt idx="72">
                  <c:v>39386</c:v>
                </c:pt>
                <c:pt idx="73">
                  <c:v>39355</c:v>
                </c:pt>
                <c:pt idx="74">
                  <c:v>39325</c:v>
                </c:pt>
                <c:pt idx="75">
                  <c:v>39294</c:v>
                </c:pt>
                <c:pt idx="76">
                  <c:v>39263</c:v>
                </c:pt>
                <c:pt idx="77">
                  <c:v>39233</c:v>
                </c:pt>
                <c:pt idx="78">
                  <c:v>39202</c:v>
                </c:pt>
                <c:pt idx="79">
                  <c:v>39172</c:v>
                </c:pt>
              </c:numCache>
            </c:numRef>
          </c:cat>
          <c:val>
            <c:numRef>
              <c:f>房地产!$I$11:$I$90</c:f>
              <c:numCache>
                <c:formatCode>###,###,###,###,##0.00</c:formatCode>
                <c:ptCount val="80"/>
                <c:pt idx="0">
                  <c:v>95.79</c:v>
                </c:pt>
                <c:pt idx="1">
                  <c:v>96.4</c:v>
                </c:pt>
                <c:pt idx="2">
                  <c:v>96.910000000000025</c:v>
                </c:pt>
                <c:pt idx="3">
                  <c:v>97.210000000000022</c:v>
                </c:pt>
                <c:pt idx="4">
                  <c:v>96.38</c:v>
                </c:pt>
                <c:pt idx="5">
                  <c:v>96.88</c:v>
                </c:pt>
                <c:pt idx="6">
                  <c:v>97.25</c:v>
                </c:pt>
                <c:pt idx="7">
                  <c:v>97.29</c:v>
                </c:pt>
                <c:pt idx="8">
                  <c:v>97.39</c:v>
                </c:pt>
                <c:pt idx="9">
                  <c:v>97.29</c:v>
                </c:pt>
                <c:pt idx="10">
                  <c:v>97.26</c:v>
                </c:pt>
                <c:pt idx="11">
                  <c:v>97.35</c:v>
                </c:pt>
                <c:pt idx="12">
                  <c:v>97.56</c:v>
                </c:pt>
                <c:pt idx="13">
                  <c:v>97.92</c:v>
                </c:pt>
                <c:pt idx="14">
                  <c:v>95.59</c:v>
                </c:pt>
                <c:pt idx="15">
                  <c:v>95.710000000000022</c:v>
                </c:pt>
                <c:pt idx="16">
                  <c:v>94.56</c:v>
                </c:pt>
                <c:pt idx="17">
                  <c:v>94.39</c:v>
                </c:pt>
                <c:pt idx="18">
                  <c:v>94.64</c:v>
                </c:pt>
                <c:pt idx="19">
                  <c:v>94.57</c:v>
                </c:pt>
                <c:pt idx="20">
                  <c:v>94.710000000000022</c:v>
                </c:pt>
                <c:pt idx="21">
                  <c:v>94.9</c:v>
                </c:pt>
                <c:pt idx="22">
                  <c:v>95.61999999999999</c:v>
                </c:pt>
                <c:pt idx="23">
                  <c:v>96.92</c:v>
                </c:pt>
                <c:pt idx="24">
                  <c:v>97.89</c:v>
                </c:pt>
                <c:pt idx="25">
                  <c:v>98.89</c:v>
                </c:pt>
                <c:pt idx="26">
                  <c:v>99.86999999999999</c:v>
                </c:pt>
                <c:pt idx="27">
                  <c:v>100.27</c:v>
                </c:pt>
                <c:pt idx="28">
                  <c:v>100.41000000000012</c:v>
                </c:pt>
                <c:pt idx="29">
                  <c:v>101.11999999999999</c:v>
                </c:pt>
                <c:pt idx="30">
                  <c:v>101.5</c:v>
                </c:pt>
                <c:pt idx="31">
                  <c:v>101.75</c:v>
                </c:pt>
                <c:pt idx="32">
                  <c:v>103.2</c:v>
                </c:pt>
                <c:pt idx="33">
                  <c:v>103.19</c:v>
                </c:pt>
                <c:pt idx="34">
                  <c:v>102.98</c:v>
                </c:pt>
                <c:pt idx="35">
                  <c:v>102.9</c:v>
                </c:pt>
                <c:pt idx="36">
                  <c:v>101.79</c:v>
                </c:pt>
                <c:pt idx="37">
                  <c:v>103.2</c:v>
                </c:pt>
                <c:pt idx="38">
                  <c:v>103.57</c:v>
                </c:pt>
                <c:pt idx="39">
                  <c:v>103.52</c:v>
                </c:pt>
                <c:pt idx="40">
                  <c:v>104.11</c:v>
                </c:pt>
                <c:pt idx="41">
                  <c:v>104.72</c:v>
                </c:pt>
                <c:pt idx="42">
                  <c:v>105.06</c:v>
                </c:pt>
                <c:pt idx="43">
                  <c:v>105.07</c:v>
                </c:pt>
                <c:pt idx="44">
                  <c:v>105.66</c:v>
                </c:pt>
                <c:pt idx="45">
                  <c:v>105.89</c:v>
                </c:pt>
                <c:pt idx="46">
                  <c:v>105.47</c:v>
                </c:pt>
                <c:pt idx="47">
                  <c:v>103.66</c:v>
                </c:pt>
                <c:pt idx="48">
                  <c:v>102.78</c:v>
                </c:pt>
                <c:pt idx="49">
                  <c:v>102.03</c:v>
                </c:pt>
                <c:pt idx="50">
                  <c:v>101.08</c:v>
                </c:pt>
                <c:pt idx="51">
                  <c:v>100.08</c:v>
                </c:pt>
                <c:pt idx="52">
                  <c:v>98.01</c:v>
                </c:pt>
                <c:pt idx="53">
                  <c:v>96.55</c:v>
                </c:pt>
                <c:pt idx="54">
                  <c:v>95.940000000000026</c:v>
                </c:pt>
                <c:pt idx="55">
                  <c:v>94.76</c:v>
                </c:pt>
                <c:pt idx="56">
                  <c:v>94.740000000000023</c:v>
                </c:pt>
                <c:pt idx="57">
                  <c:v>94.86</c:v>
                </c:pt>
                <c:pt idx="58">
                  <c:v>96.460000000000022</c:v>
                </c:pt>
                <c:pt idx="59">
                  <c:v>98.460000000000022</c:v>
                </c:pt>
                <c:pt idx="60">
                  <c:v>99.679999999999978</c:v>
                </c:pt>
                <c:pt idx="61">
                  <c:v>101.14999999999999</c:v>
                </c:pt>
                <c:pt idx="62">
                  <c:v>101.78</c:v>
                </c:pt>
                <c:pt idx="63">
                  <c:v>102.36</c:v>
                </c:pt>
                <c:pt idx="64">
                  <c:v>103.08</c:v>
                </c:pt>
                <c:pt idx="65">
                  <c:v>103.34</c:v>
                </c:pt>
                <c:pt idx="66">
                  <c:v>104.07</c:v>
                </c:pt>
                <c:pt idx="67">
                  <c:v>104.72</c:v>
                </c:pt>
                <c:pt idx="68">
                  <c:v>105.55</c:v>
                </c:pt>
                <c:pt idx="69">
                  <c:v>106.11</c:v>
                </c:pt>
                <c:pt idx="70">
                  <c:v>106.45</c:v>
                </c:pt>
                <c:pt idx="71">
                  <c:v>106.59</c:v>
                </c:pt>
                <c:pt idx="72">
                  <c:v>105.74000000000002</c:v>
                </c:pt>
                <c:pt idx="73">
                  <c:v>104.99000000000002</c:v>
                </c:pt>
                <c:pt idx="74">
                  <c:v>104.48</c:v>
                </c:pt>
                <c:pt idx="75">
                  <c:v>104</c:v>
                </c:pt>
                <c:pt idx="76">
                  <c:v>103.63</c:v>
                </c:pt>
                <c:pt idx="77">
                  <c:v>103.32</c:v>
                </c:pt>
                <c:pt idx="78">
                  <c:v>102.64999999999999</c:v>
                </c:pt>
                <c:pt idx="79">
                  <c:v>101.22</c:v>
                </c:pt>
              </c:numCache>
            </c:numRef>
          </c:val>
        </c:ser>
        <c:ser>
          <c:idx val="2"/>
          <c:order val="2"/>
          <c:tx>
            <c:strRef>
              <c:f>房地产!$K$1</c:f>
              <c:strCache>
                <c:ptCount val="1"/>
                <c:pt idx="0">
                  <c:v>房地产开发投资完成额累计同比</c:v>
                </c:pt>
              </c:strCache>
            </c:strRef>
          </c:tx>
          <c:marker>
            <c:symbol val="none"/>
          </c:marker>
          <c:cat>
            <c:numRef>
              <c:f>房地产!$H$11:$H$90</c:f>
              <c:numCache>
                <c:formatCode>yyyy\-mm;@</c:formatCode>
                <c:ptCount val="80"/>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40908</c:v>
                </c:pt>
                <c:pt idx="26">
                  <c:v>40877</c:v>
                </c:pt>
                <c:pt idx="27">
                  <c:v>40847</c:v>
                </c:pt>
                <c:pt idx="28">
                  <c:v>40816</c:v>
                </c:pt>
                <c:pt idx="29">
                  <c:v>40786</c:v>
                </c:pt>
                <c:pt idx="30">
                  <c:v>40755</c:v>
                </c:pt>
                <c:pt idx="31">
                  <c:v>40724</c:v>
                </c:pt>
                <c:pt idx="32">
                  <c:v>40694</c:v>
                </c:pt>
                <c:pt idx="33">
                  <c:v>40663</c:v>
                </c:pt>
                <c:pt idx="34">
                  <c:v>40633</c:v>
                </c:pt>
                <c:pt idx="35">
                  <c:v>40602</c:v>
                </c:pt>
                <c:pt idx="36">
                  <c:v>40543</c:v>
                </c:pt>
                <c:pt idx="37">
                  <c:v>40512</c:v>
                </c:pt>
                <c:pt idx="38">
                  <c:v>40482</c:v>
                </c:pt>
                <c:pt idx="39">
                  <c:v>40451</c:v>
                </c:pt>
                <c:pt idx="40">
                  <c:v>40421</c:v>
                </c:pt>
                <c:pt idx="41">
                  <c:v>40390</c:v>
                </c:pt>
                <c:pt idx="42">
                  <c:v>40359</c:v>
                </c:pt>
                <c:pt idx="43">
                  <c:v>40329</c:v>
                </c:pt>
                <c:pt idx="44">
                  <c:v>40298</c:v>
                </c:pt>
                <c:pt idx="45">
                  <c:v>40268</c:v>
                </c:pt>
                <c:pt idx="46">
                  <c:v>40237</c:v>
                </c:pt>
                <c:pt idx="47">
                  <c:v>40178</c:v>
                </c:pt>
                <c:pt idx="48">
                  <c:v>40147</c:v>
                </c:pt>
                <c:pt idx="49">
                  <c:v>40117</c:v>
                </c:pt>
                <c:pt idx="50">
                  <c:v>40086</c:v>
                </c:pt>
                <c:pt idx="51">
                  <c:v>40056</c:v>
                </c:pt>
                <c:pt idx="52">
                  <c:v>40025</c:v>
                </c:pt>
                <c:pt idx="53">
                  <c:v>39994</c:v>
                </c:pt>
                <c:pt idx="54">
                  <c:v>39964</c:v>
                </c:pt>
                <c:pt idx="55">
                  <c:v>39933</c:v>
                </c:pt>
                <c:pt idx="56">
                  <c:v>39903</c:v>
                </c:pt>
                <c:pt idx="57">
                  <c:v>39872</c:v>
                </c:pt>
                <c:pt idx="58">
                  <c:v>39813</c:v>
                </c:pt>
                <c:pt idx="59">
                  <c:v>39782</c:v>
                </c:pt>
                <c:pt idx="60">
                  <c:v>39752</c:v>
                </c:pt>
                <c:pt idx="61">
                  <c:v>39721</c:v>
                </c:pt>
                <c:pt idx="62">
                  <c:v>39691</c:v>
                </c:pt>
                <c:pt idx="63">
                  <c:v>39660</c:v>
                </c:pt>
                <c:pt idx="64">
                  <c:v>39629</c:v>
                </c:pt>
                <c:pt idx="65">
                  <c:v>39599</c:v>
                </c:pt>
                <c:pt idx="66">
                  <c:v>39568</c:v>
                </c:pt>
                <c:pt idx="67">
                  <c:v>39538</c:v>
                </c:pt>
                <c:pt idx="68">
                  <c:v>39507</c:v>
                </c:pt>
                <c:pt idx="69">
                  <c:v>39478</c:v>
                </c:pt>
                <c:pt idx="70">
                  <c:v>39447</c:v>
                </c:pt>
                <c:pt idx="71">
                  <c:v>39416</c:v>
                </c:pt>
                <c:pt idx="72">
                  <c:v>39386</c:v>
                </c:pt>
                <c:pt idx="73">
                  <c:v>39355</c:v>
                </c:pt>
                <c:pt idx="74">
                  <c:v>39325</c:v>
                </c:pt>
                <c:pt idx="75">
                  <c:v>39294</c:v>
                </c:pt>
                <c:pt idx="76">
                  <c:v>39263</c:v>
                </c:pt>
                <c:pt idx="77">
                  <c:v>39233</c:v>
                </c:pt>
                <c:pt idx="78">
                  <c:v>39202</c:v>
                </c:pt>
                <c:pt idx="79">
                  <c:v>39172</c:v>
                </c:pt>
              </c:numCache>
            </c:numRef>
          </c:cat>
          <c:val>
            <c:numRef>
              <c:f>房地产!$K$11:$K$90</c:f>
              <c:numCache>
                <c:formatCode>###,###,###,###,##0.00</c:formatCode>
                <c:ptCount val="80"/>
                <c:pt idx="0">
                  <c:v>16.399999999999999</c:v>
                </c:pt>
                <c:pt idx="1">
                  <c:v>16.8</c:v>
                </c:pt>
                <c:pt idx="2">
                  <c:v>19.3</c:v>
                </c:pt>
                <c:pt idx="3">
                  <c:v>19.8</c:v>
                </c:pt>
                <c:pt idx="4">
                  <c:v>19.5</c:v>
                </c:pt>
                <c:pt idx="5">
                  <c:v>19.2</c:v>
                </c:pt>
                <c:pt idx="6">
                  <c:v>19.7</c:v>
                </c:pt>
                <c:pt idx="7">
                  <c:v>19.3</c:v>
                </c:pt>
                <c:pt idx="8">
                  <c:v>20.5</c:v>
                </c:pt>
                <c:pt idx="9">
                  <c:v>20.3</c:v>
                </c:pt>
                <c:pt idx="10">
                  <c:v>20.6</c:v>
                </c:pt>
                <c:pt idx="11">
                  <c:v>21.1</c:v>
                </c:pt>
                <c:pt idx="12">
                  <c:v>20.2</c:v>
                </c:pt>
                <c:pt idx="13">
                  <c:v>22.8</c:v>
                </c:pt>
                <c:pt idx="14">
                  <c:v>16.2</c:v>
                </c:pt>
                <c:pt idx="15">
                  <c:v>16.7</c:v>
                </c:pt>
                <c:pt idx="16">
                  <c:v>15.4</c:v>
                </c:pt>
                <c:pt idx="17">
                  <c:v>15.4</c:v>
                </c:pt>
                <c:pt idx="18">
                  <c:v>15.6</c:v>
                </c:pt>
                <c:pt idx="19">
                  <c:v>15.4</c:v>
                </c:pt>
                <c:pt idx="20">
                  <c:v>16.600000000000001</c:v>
                </c:pt>
                <c:pt idx="21">
                  <c:v>18.5</c:v>
                </c:pt>
                <c:pt idx="22">
                  <c:v>18.7</c:v>
                </c:pt>
                <c:pt idx="23">
                  <c:v>23.5</c:v>
                </c:pt>
                <c:pt idx="24">
                  <c:v>27.8</c:v>
                </c:pt>
                <c:pt idx="25">
                  <c:v>27.9</c:v>
                </c:pt>
                <c:pt idx="26">
                  <c:v>29.9</c:v>
                </c:pt>
                <c:pt idx="27">
                  <c:v>31.1</c:v>
                </c:pt>
                <c:pt idx="28">
                  <c:v>32</c:v>
                </c:pt>
                <c:pt idx="29">
                  <c:v>33.200000000000003</c:v>
                </c:pt>
                <c:pt idx="30">
                  <c:v>33.6</c:v>
                </c:pt>
                <c:pt idx="31">
                  <c:v>32.9</c:v>
                </c:pt>
                <c:pt idx="32">
                  <c:v>34.6</c:v>
                </c:pt>
                <c:pt idx="33">
                  <c:v>34.300000000000004</c:v>
                </c:pt>
                <c:pt idx="34">
                  <c:v>34.1</c:v>
                </c:pt>
                <c:pt idx="35">
                  <c:v>35.200000000000003</c:v>
                </c:pt>
                <c:pt idx="36">
                  <c:v>33.200000000000003</c:v>
                </c:pt>
                <c:pt idx="37">
                  <c:v>36.5</c:v>
                </c:pt>
                <c:pt idx="38">
                  <c:v>36.5</c:v>
                </c:pt>
                <c:pt idx="39">
                  <c:v>36.4</c:v>
                </c:pt>
                <c:pt idx="40">
                  <c:v>36.700000000000003</c:v>
                </c:pt>
                <c:pt idx="41">
                  <c:v>37.200000000000003</c:v>
                </c:pt>
                <c:pt idx="42">
                  <c:v>38.1</c:v>
                </c:pt>
                <c:pt idx="43">
                  <c:v>38.200000000000003</c:v>
                </c:pt>
                <c:pt idx="44">
                  <c:v>36.200000000000003</c:v>
                </c:pt>
                <c:pt idx="45">
                  <c:v>35.1</c:v>
                </c:pt>
                <c:pt idx="46">
                  <c:v>31.1</c:v>
                </c:pt>
                <c:pt idx="47">
                  <c:v>16.100000000000001</c:v>
                </c:pt>
                <c:pt idx="48">
                  <c:v>17.8</c:v>
                </c:pt>
                <c:pt idx="49">
                  <c:v>16.600000000000001</c:v>
                </c:pt>
                <c:pt idx="50">
                  <c:v>15.4</c:v>
                </c:pt>
                <c:pt idx="51">
                  <c:v>12.5</c:v>
                </c:pt>
                <c:pt idx="52">
                  <c:v>9.5</c:v>
                </c:pt>
                <c:pt idx="53">
                  <c:v>8.3000000000000007</c:v>
                </c:pt>
                <c:pt idx="54">
                  <c:v>5.8</c:v>
                </c:pt>
                <c:pt idx="55">
                  <c:v>4.9000000000000004</c:v>
                </c:pt>
                <c:pt idx="56">
                  <c:v>4.0999999999999996</c:v>
                </c:pt>
                <c:pt idx="57">
                  <c:v>1</c:v>
                </c:pt>
                <c:pt idx="58">
                  <c:v>23.4</c:v>
                </c:pt>
                <c:pt idx="59">
                  <c:v>22.7</c:v>
                </c:pt>
                <c:pt idx="60">
                  <c:v>24.6</c:v>
                </c:pt>
                <c:pt idx="61">
                  <c:v>26.5</c:v>
                </c:pt>
                <c:pt idx="62">
                  <c:v>29.1</c:v>
                </c:pt>
                <c:pt idx="63">
                  <c:v>30.9</c:v>
                </c:pt>
                <c:pt idx="64">
                  <c:v>33.5</c:v>
                </c:pt>
                <c:pt idx="65">
                  <c:v>31.9</c:v>
                </c:pt>
                <c:pt idx="66">
                  <c:v>32.1</c:v>
                </c:pt>
                <c:pt idx="67">
                  <c:v>32.300000000000004</c:v>
                </c:pt>
                <c:pt idx="68">
                  <c:v>32.9</c:v>
                </c:pt>
                <c:pt idx="69">
                  <c:v>0</c:v>
                </c:pt>
                <c:pt idx="70">
                  <c:v>30.2</c:v>
                </c:pt>
                <c:pt idx="71">
                  <c:v>31.8</c:v>
                </c:pt>
                <c:pt idx="72">
                  <c:v>31.4</c:v>
                </c:pt>
                <c:pt idx="73">
                  <c:v>30.3</c:v>
                </c:pt>
                <c:pt idx="74">
                  <c:v>29</c:v>
                </c:pt>
                <c:pt idx="75">
                  <c:v>28.9</c:v>
                </c:pt>
                <c:pt idx="76">
                  <c:v>28.5</c:v>
                </c:pt>
                <c:pt idx="77">
                  <c:v>27.5</c:v>
                </c:pt>
                <c:pt idx="78">
                  <c:v>27.4</c:v>
                </c:pt>
                <c:pt idx="79">
                  <c:v>26.9</c:v>
                </c:pt>
              </c:numCache>
            </c:numRef>
          </c:val>
        </c:ser>
        <c:ser>
          <c:idx val="4"/>
          <c:order val="4"/>
          <c:tx>
            <c:strRef>
              <c:f>房地产!$M$1</c:f>
              <c:strCache>
                <c:ptCount val="1"/>
                <c:pt idx="0">
                  <c:v>本年购置土地面积累计同比</c:v>
                </c:pt>
              </c:strCache>
            </c:strRef>
          </c:tx>
          <c:marker>
            <c:symbol val="none"/>
          </c:marker>
          <c:cat>
            <c:numRef>
              <c:f>房地产!$H$11:$H$90</c:f>
              <c:numCache>
                <c:formatCode>yyyy\-mm;@</c:formatCode>
                <c:ptCount val="80"/>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40908</c:v>
                </c:pt>
                <c:pt idx="26">
                  <c:v>40877</c:v>
                </c:pt>
                <c:pt idx="27">
                  <c:v>40847</c:v>
                </c:pt>
                <c:pt idx="28">
                  <c:v>40816</c:v>
                </c:pt>
                <c:pt idx="29">
                  <c:v>40786</c:v>
                </c:pt>
                <c:pt idx="30">
                  <c:v>40755</c:v>
                </c:pt>
                <c:pt idx="31">
                  <c:v>40724</c:v>
                </c:pt>
                <c:pt idx="32">
                  <c:v>40694</c:v>
                </c:pt>
                <c:pt idx="33">
                  <c:v>40663</c:v>
                </c:pt>
                <c:pt idx="34">
                  <c:v>40633</c:v>
                </c:pt>
                <c:pt idx="35">
                  <c:v>40602</c:v>
                </c:pt>
                <c:pt idx="36">
                  <c:v>40543</c:v>
                </c:pt>
                <c:pt idx="37">
                  <c:v>40512</c:v>
                </c:pt>
                <c:pt idx="38">
                  <c:v>40482</c:v>
                </c:pt>
                <c:pt idx="39">
                  <c:v>40451</c:v>
                </c:pt>
                <c:pt idx="40">
                  <c:v>40421</c:v>
                </c:pt>
                <c:pt idx="41">
                  <c:v>40390</c:v>
                </c:pt>
                <c:pt idx="42">
                  <c:v>40359</c:v>
                </c:pt>
                <c:pt idx="43">
                  <c:v>40329</c:v>
                </c:pt>
                <c:pt idx="44">
                  <c:v>40298</c:v>
                </c:pt>
                <c:pt idx="45">
                  <c:v>40268</c:v>
                </c:pt>
                <c:pt idx="46">
                  <c:v>40237</c:v>
                </c:pt>
                <c:pt idx="47">
                  <c:v>40178</c:v>
                </c:pt>
                <c:pt idx="48">
                  <c:v>40147</c:v>
                </c:pt>
                <c:pt idx="49">
                  <c:v>40117</c:v>
                </c:pt>
                <c:pt idx="50">
                  <c:v>40086</c:v>
                </c:pt>
                <c:pt idx="51">
                  <c:v>40056</c:v>
                </c:pt>
                <c:pt idx="52">
                  <c:v>40025</c:v>
                </c:pt>
                <c:pt idx="53">
                  <c:v>39994</c:v>
                </c:pt>
                <c:pt idx="54">
                  <c:v>39964</c:v>
                </c:pt>
                <c:pt idx="55">
                  <c:v>39933</c:v>
                </c:pt>
                <c:pt idx="56">
                  <c:v>39903</c:v>
                </c:pt>
                <c:pt idx="57">
                  <c:v>39872</c:v>
                </c:pt>
                <c:pt idx="58">
                  <c:v>39813</c:v>
                </c:pt>
                <c:pt idx="59">
                  <c:v>39782</c:v>
                </c:pt>
                <c:pt idx="60">
                  <c:v>39752</c:v>
                </c:pt>
                <c:pt idx="61">
                  <c:v>39721</c:v>
                </c:pt>
                <c:pt idx="62">
                  <c:v>39691</c:v>
                </c:pt>
                <c:pt idx="63">
                  <c:v>39660</c:v>
                </c:pt>
                <c:pt idx="64">
                  <c:v>39629</c:v>
                </c:pt>
                <c:pt idx="65">
                  <c:v>39599</c:v>
                </c:pt>
                <c:pt idx="66">
                  <c:v>39568</c:v>
                </c:pt>
                <c:pt idx="67">
                  <c:v>39538</c:v>
                </c:pt>
                <c:pt idx="68">
                  <c:v>39507</c:v>
                </c:pt>
                <c:pt idx="69">
                  <c:v>39478</c:v>
                </c:pt>
                <c:pt idx="70">
                  <c:v>39447</c:v>
                </c:pt>
                <c:pt idx="71">
                  <c:v>39416</c:v>
                </c:pt>
                <c:pt idx="72">
                  <c:v>39386</c:v>
                </c:pt>
                <c:pt idx="73">
                  <c:v>39355</c:v>
                </c:pt>
                <c:pt idx="74">
                  <c:v>39325</c:v>
                </c:pt>
                <c:pt idx="75">
                  <c:v>39294</c:v>
                </c:pt>
                <c:pt idx="76">
                  <c:v>39263</c:v>
                </c:pt>
                <c:pt idx="77">
                  <c:v>39233</c:v>
                </c:pt>
                <c:pt idx="78">
                  <c:v>39202</c:v>
                </c:pt>
                <c:pt idx="79">
                  <c:v>39172</c:v>
                </c:pt>
              </c:numCache>
            </c:numRef>
          </c:cat>
          <c:val>
            <c:numRef>
              <c:f>房地产!$M$11:$M$90</c:f>
              <c:numCache>
                <c:formatCode>###,###,###,###,##0.00</c:formatCode>
                <c:ptCount val="80"/>
                <c:pt idx="0">
                  <c:v>-7.9</c:v>
                </c:pt>
                <c:pt idx="1">
                  <c:v>-2.2999999999999998</c:v>
                </c:pt>
                <c:pt idx="2">
                  <c:v>6.5</c:v>
                </c:pt>
                <c:pt idx="3">
                  <c:v>8.8000000000000007</c:v>
                </c:pt>
                <c:pt idx="4">
                  <c:v>9.9</c:v>
                </c:pt>
                <c:pt idx="5">
                  <c:v>-3.6</c:v>
                </c:pt>
                <c:pt idx="6">
                  <c:v>-3.3</c:v>
                </c:pt>
                <c:pt idx="7">
                  <c:v>-9.1</c:v>
                </c:pt>
                <c:pt idx="8">
                  <c:v>-1.4</c:v>
                </c:pt>
                <c:pt idx="9">
                  <c:v>-10.4</c:v>
                </c:pt>
                <c:pt idx="10">
                  <c:v>-13.1</c:v>
                </c:pt>
                <c:pt idx="11">
                  <c:v>-8.6</c:v>
                </c:pt>
                <c:pt idx="12">
                  <c:v>-22</c:v>
                </c:pt>
                <c:pt idx="13">
                  <c:v>-18.600000000000001</c:v>
                </c:pt>
                <c:pt idx="14">
                  <c:v>-19.5</c:v>
                </c:pt>
                <c:pt idx="15">
                  <c:v>-14.8</c:v>
                </c:pt>
                <c:pt idx="16">
                  <c:v>-18</c:v>
                </c:pt>
                <c:pt idx="17">
                  <c:v>-16.5</c:v>
                </c:pt>
                <c:pt idx="18">
                  <c:v>-16.2</c:v>
                </c:pt>
                <c:pt idx="19">
                  <c:v>-24.3</c:v>
                </c:pt>
                <c:pt idx="20">
                  <c:v>-19.899999999999999</c:v>
                </c:pt>
                <c:pt idx="21">
                  <c:v>-18.7</c:v>
                </c:pt>
                <c:pt idx="22">
                  <c:v>-19.3</c:v>
                </c:pt>
                <c:pt idx="23">
                  <c:v>-3.9</c:v>
                </c:pt>
                <c:pt idx="24">
                  <c:v>-0.48000000000000032</c:v>
                </c:pt>
                <c:pt idx="25">
                  <c:v>2.6</c:v>
                </c:pt>
                <c:pt idx="26">
                  <c:v>3</c:v>
                </c:pt>
                <c:pt idx="27">
                  <c:v>3</c:v>
                </c:pt>
                <c:pt idx="28">
                  <c:v>7.2</c:v>
                </c:pt>
                <c:pt idx="29">
                  <c:v>9.7000000000000011</c:v>
                </c:pt>
                <c:pt idx="30">
                  <c:v>15.4</c:v>
                </c:pt>
                <c:pt idx="31">
                  <c:v>18.399999999999999</c:v>
                </c:pt>
                <c:pt idx="32">
                  <c:v>28.6</c:v>
                </c:pt>
                <c:pt idx="33">
                  <c:v>30.4</c:v>
                </c:pt>
                <c:pt idx="34">
                  <c:v>32.700000000000003</c:v>
                </c:pt>
                <c:pt idx="35">
                  <c:v>57.1</c:v>
                </c:pt>
                <c:pt idx="36">
                  <c:v>28.4</c:v>
                </c:pt>
                <c:pt idx="37">
                  <c:v>33.200000000000003</c:v>
                </c:pt>
                <c:pt idx="38">
                  <c:v>36.200000000000003</c:v>
                </c:pt>
                <c:pt idx="39">
                  <c:v>35.6</c:v>
                </c:pt>
                <c:pt idx="40">
                  <c:v>37.9</c:v>
                </c:pt>
                <c:pt idx="41">
                  <c:v>33.300000000000004</c:v>
                </c:pt>
                <c:pt idx="42">
                  <c:v>35.6</c:v>
                </c:pt>
                <c:pt idx="43">
                  <c:v>31.1</c:v>
                </c:pt>
                <c:pt idx="44">
                  <c:v>26.4</c:v>
                </c:pt>
                <c:pt idx="45">
                  <c:v>30</c:v>
                </c:pt>
                <c:pt idx="46">
                  <c:v>11.2</c:v>
                </c:pt>
                <c:pt idx="47">
                  <c:v>-18.899999999999999</c:v>
                </c:pt>
                <c:pt idx="48">
                  <c:v>-15.4</c:v>
                </c:pt>
                <c:pt idx="49">
                  <c:v>-18.7</c:v>
                </c:pt>
                <c:pt idx="50">
                  <c:v>-22.1</c:v>
                </c:pt>
                <c:pt idx="51">
                  <c:v>-25.3</c:v>
                </c:pt>
                <c:pt idx="52">
                  <c:v>-25.8</c:v>
                </c:pt>
                <c:pt idx="53">
                  <c:v>-26.5</c:v>
                </c:pt>
                <c:pt idx="54">
                  <c:v>-28.6</c:v>
                </c:pt>
                <c:pt idx="55">
                  <c:v>-28.6</c:v>
                </c:pt>
                <c:pt idx="56">
                  <c:v>-40.1</c:v>
                </c:pt>
                <c:pt idx="57">
                  <c:v>-30</c:v>
                </c:pt>
                <c:pt idx="58">
                  <c:v>-8.6</c:v>
                </c:pt>
                <c:pt idx="59">
                  <c:v>-5.9</c:v>
                </c:pt>
                <c:pt idx="60">
                  <c:v>-5.6</c:v>
                </c:pt>
                <c:pt idx="61">
                  <c:v>-2.9</c:v>
                </c:pt>
                <c:pt idx="62">
                  <c:v>2.7</c:v>
                </c:pt>
                <c:pt idx="63">
                  <c:v>5.2</c:v>
                </c:pt>
                <c:pt idx="64">
                  <c:v>7.6</c:v>
                </c:pt>
                <c:pt idx="65">
                  <c:v>13.7</c:v>
                </c:pt>
                <c:pt idx="66">
                  <c:v>11.1</c:v>
                </c:pt>
                <c:pt idx="67">
                  <c:v>29.7</c:v>
                </c:pt>
                <c:pt idx="68">
                  <c:v>35.800000000000004</c:v>
                </c:pt>
                <c:pt idx="69">
                  <c:v>0</c:v>
                </c:pt>
                <c:pt idx="70">
                  <c:v>11</c:v>
                </c:pt>
                <c:pt idx="71">
                  <c:v>15.5</c:v>
                </c:pt>
                <c:pt idx="72">
                  <c:v>16.899999999999999</c:v>
                </c:pt>
                <c:pt idx="73">
                  <c:v>17.8</c:v>
                </c:pt>
                <c:pt idx="74">
                  <c:v>15.2</c:v>
                </c:pt>
                <c:pt idx="75">
                  <c:v>12.7</c:v>
                </c:pt>
                <c:pt idx="76">
                  <c:v>10</c:v>
                </c:pt>
                <c:pt idx="77">
                  <c:v>5</c:v>
                </c:pt>
                <c:pt idx="78">
                  <c:v>-0.60000000000000064</c:v>
                </c:pt>
                <c:pt idx="79">
                  <c:v>-8.6</c:v>
                </c:pt>
              </c:numCache>
            </c:numRef>
          </c:val>
        </c:ser>
        <c:marker val="1"/>
        <c:axId val="230705024"/>
        <c:axId val="230703488"/>
      </c:lineChart>
      <c:dateAx>
        <c:axId val="229500032"/>
        <c:scaling>
          <c:orientation val="minMax"/>
        </c:scaling>
        <c:axPos val="b"/>
        <c:numFmt formatCode="yyyy\-mm;@" sourceLinked="1"/>
        <c:tickLblPos val="nextTo"/>
        <c:txPr>
          <a:bodyPr/>
          <a:lstStyle/>
          <a:p>
            <a:pPr>
              <a:defRPr lang="en-US" sz="700" baseline="0"/>
            </a:pPr>
            <a:endParaRPr lang="zh-CN"/>
          </a:p>
        </c:txPr>
        <c:crossAx val="229501568"/>
        <c:crosses val="autoZero"/>
        <c:auto val="1"/>
        <c:lblOffset val="100"/>
      </c:dateAx>
      <c:valAx>
        <c:axId val="229501568"/>
        <c:scaling>
          <c:orientation val="minMax"/>
        </c:scaling>
        <c:axPos val="l"/>
        <c:majorGridlines/>
        <c:numFmt formatCode="###,###,###,###,##0" sourceLinked="0"/>
        <c:tickLblPos val="nextTo"/>
        <c:txPr>
          <a:bodyPr/>
          <a:lstStyle/>
          <a:p>
            <a:pPr>
              <a:defRPr lang="en-US" sz="700" baseline="0"/>
            </a:pPr>
            <a:endParaRPr lang="zh-CN"/>
          </a:p>
        </c:txPr>
        <c:crossAx val="229500032"/>
        <c:crosses val="autoZero"/>
        <c:crossBetween val="between"/>
      </c:valAx>
      <c:valAx>
        <c:axId val="230703488"/>
        <c:scaling>
          <c:orientation val="minMax"/>
        </c:scaling>
        <c:axPos val="r"/>
        <c:numFmt formatCode="###,###,###,###,##0" sourceLinked="0"/>
        <c:tickLblPos val="nextTo"/>
        <c:txPr>
          <a:bodyPr/>
          <a:lstStyle/>
          <a:p>
            <a:pPr>
              <a:defRPr lang="en-US" sz="700" baseline="0"/>
            </a:pPr>
            <a:endParaRPr lang="zh-CN"/>
          </a:p>
        </c:txPr>
        <c:crossAx val="230705024"/>
        <c:crosses val="max"/>
        <c:crossBetween val="between"/>
      </c:valAx>
      <c:dateAx>
        <c:axId val="230705024"/>
        <c:scaling>
          <c:orientation val="minMax"/>
        </c:scaling>
        <c:delete val="1"/>
        <c:axPos val="b"/>
        <c:numFmt formatCode="yyyy\-mm;@" sourceLinked="1"/>
        <c:tickLblPos val="none"/>
        <c:crossAx val="230703488"/>
        <c:crosses val="autoZero"/>
        <c:auto val="1"/>
        <c:lblOffset val="100"/>
      </c:dateAx>
    </c:plotArea>
    <c:legend>
      <c:legendPos val="t"/>
      <c:layout>
        <c:manualLayout>
          <c:xMode val="edge"/>
          <c:yMode val="edge"/>
          <c:x val="0"/>
          <c:y val="4.2662486045899275E-4"/>
          <c:w val="1"/>
          <c:h val="0.17255839866585773"/>
        </c:manualLayout>
      </c:layout>
      <c:txPr>
        <a:bodyPr/>
        <a:lstStyle/>
        <a:p>
          <a:pPr>
            <a:defRPr lang="en-US" sz="800" baseline="0"/>
          </a:pPr>
          <a:endParaRPr lang="zh-CN"/>
        </a:p>
      </c:txPr>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1327825093291995"/>
          <c:y val="0.15238390673874375"/>
          <c:w val="0.77765976797543523"/>
          <c:h val="0.61917349703018298"/>
        </c:manualLayout>
      </c:layout>
      <c:barChart>
        <c:barDir val="col"/>
        <c:grouping val="clustered"/>
        <c:ser>
          <c:idx val="0"/>
          <c:order val="0"/>
          <c:tx>
            <c:v>百城房价平均值</c:v>
          </c:tx>
          <c:cat>
            <c:numRef>
              <c:f>锌下游!$J$4:$J$31</c:f>
              <c:numCache>
                <c:formatCode>yyyy\-mm;@</c:formatCode>
                <c:ptCount val="28"/>
                <c:pt idx="0">
                  <c:v>41790</c:v>
                </c:pt>
                <c:pt idx="1">
                  <c:v>41759</c:v>
                </c:pt>
                <c:pt idx="2">
                  <c:v>41729</c:v>
                </c:pt>
                <c:pt idx="3">
                  <c:v>41698</c:v>
                </c:pt>
                <c:pt idx="4">
                  <c:v>41670</c:v>
                </c:pt>
                <c:pt idx="5">
                  <c:v>41639</c:v>
                </c:pt>
                <c:pt idx="6">
                  <c:v>41608</c:v>
                </c:pt>
                <c:pt idx="7">
                  <c:v>41578</c:v>
                </c:pt>
                <c:pt idx="8">
                  <c:v>41547</c:v>
                </c:pt>
                <c:pt idx="9">
                  <c:v>41517</c:v>
                </c:pt>
                <c:pt idx="10">
                  <c:v>41486</c:v>
                </c:pt>
                <c:pt idx="11">
                  <c:v>41455</c:v>
                </c:pt>
                <c:pt idx="12">
                  <c:v>41425</c:v>
                </c:pt>
                <c:pt idx="13">
                  <c:v>41394</c:v>
                </c:pt>
                <c:pt idx="14">
                  <c:v>41364</c:v>
                </c:pt>
                <c:pt idx="15">
                  <c:v>41333</c:v>
                </c:pt>
                <c:pt idx="16">
                  <c:v>41305</c:v>
                </c:pt>
                <c:pt idx="17">
                  <c:v>41274</c:v>
                </c:pt>
                <c:pt idx="18">
                  <c:v>41243</c:v>
                </c:pt>
                <c:pt idx="19">
                  <c:v>41213</c:v>
                </c:pt>
                <c:pt idx="20">
                  <c:v>41182</c:v>
                </c:pt>
                <c:pt idx="21">
                  <c:v>41152</c:v>
                </c:pt>
                <c:pt idx="22">
                  <c:v>41121</c:v>
                </c:pt>
                <c:pt idx="23">
                  <c:v>41090</c:v>
                </c:pt>
                <c:pt idx="24">
                  <c:v>41060</c:v>
                </c:pt>
                <c:pt idx="25">
                  <c:v>41029</c:v>
                </c:pt>
                <c:pt idx="26">
                  <c:v>40999</c:v>
                </c:pt>
                <c:pt idx="27">
                  <c:v>40968</c:v>
                </c:pt>
              </c:numCache>
            </c:numRef>
          </c:cat>
          <c:val>
            <c:numRef>
              <c:f>锌下游!$K$4:$K$31</c:f>
              <c:numCache>
                <c:formatCode>###,###,###,###,##0.00</c:formatCode>
                <c:ptCount val="28"/>
                <c:pt idx="0">
                  <c:v>10978</c:v>
                </c:pt>
                <c:pt idx="1">
                  <c:v>11013</c:v>
                </c:pt>
                <c:pt idx="2">
                  <c:v>11002</c:v>
                </c:pt>
                <c:pt idx="3">
                  <c:v>10960</c:v>
                </c:pt>
                <c:pt idx="4">
                  <c:v>10901</c:v>
                </c:pt>
                <c:pt idx="5">
                  <c:v>10833</c:v>
                </c:pt>
                <c:pt idx="6">
                  <c:v>10758</c:v>
                </c:pt>
                <c:pt idx="7">
                  <c:v>10685</c:v>
                </c:pt>
                <c:pt idx="8">
                  <c:v>10554</c:v>
                </c:pt>
                <c:pt idx="9">
                  <c:v>10442</c:v>
                </c:pt>
                <c:pt idx="10">
                  <c:v>10347</c:v>
                </c:pt>
                <c:pt idx="11">
                  <c:v>10258</c:v>
                </c:pt>
                <c:pt idx="12">
                  <c:v>10180</c:v>
                </c:pt>
                <c:pt idx="13">
                  <c:v>10098</c:v>
                </c:pt>
                <c:pt idx="14">
                  <c:v>9998</c:v>
                </c:pt>
                <c:pt idx="15">
                  <c:v>9893</c:v>
                </c:pt>
                <c:pt idx="16">
                  <c:v>9812</c:v>
                </c:pt>
                <c:pt idx="17">
                  <c:v>9715</c:v>
                </c:pt>
                <c:pt idx="18">
                  <c:v>9693</c:v>
                </c:pt>
                <c:pt idx="19">
                  <c:v>9653</c:v>
                </c:pt>
                <c:pt idx="20">
                  <c:v>9640</c:v>
                </c:pt>
                <c:pt idx="21">
                  <c:v>9614</c:v>
                </c:pt>
                <c:pt idx="22">
                  <c:v>9586</c:v>
                </c:pt>
                <c:pt idx="23">
                  <c:v>9551</c:v>
                </c:pt>
                <c:pt idx="24">
                  <c:v>9523</c:v>
                </c:pt>
                <c:pt idx="25">
                  <c:v>9586</c:v>
                </c:pt>
                <c:pt idx="26">
                  <c:v>9623</c:v>
                </c:pt>
                <c:pt idx="27">
                  <c:v>9654</c:v>
                </c:pt>
              </c:numCache>
            </c:numRef>
          </c:val>
        </c:ser>
        <c:axId val="230722560"/>
        <c:axId val="230736640"/>
      </c:barChart>
      <c:lineChart>
        <c:grouping val="standard"/>
        <c:ser>
          <c:idx val="1"/>
          <c:order val="1"/>
          <c:tx>
            <c:v>百城住宅价格指数环比（右轴）</c:v>
          </c:tx>
          <c:marker>
            <c:symbol val="none"/>
          </c:marker>
          <c:cat>
            <c:numRef>
              <c:f>锌下游!$J$4:$J$31</c:f>
              <c:numCache>
                <c:formatCode>yyyy\-mm;@</c:formatCode>
                <c:ptCount val="28"/>
                <c:pt idx="0">
                  <c:v>41790</c:v>
                </c:pt>
                <c:pt idx="1">
                  <c:v>41759</c:v>
                </c:pt>
                <c:pt idx="2">
                  <c:v>41729</c:v>
                </c:pt>
                <c:pt idx="3">
                  <c:v>41698</c:v>
                </c:pt>
                <c:pt idx="4">
                  <c:v>41670</c:v>
                </c:pt>
                <c:pt idx="5">
                  <c:v>41639</c:v>
                </c:pt>
                <c:pt idx="6">
                  <c:v>41608</c:v>
                </c:pt>
                <c:pt idx="7">
                  <c:v>41578</c:v>
                </c:pt>
                <c:pt idx="8">
                  <c:v>41547</c:v>
                </c:pt>
                <c:pt idx="9">
                  <c:v>41517</c:v>
                </c:pt>
                <c:pt idx="10">
                  <c:v>41486</c:v>
                </c:pt>
                <c:pt idx="11">
                  <c:v>41455</c:v>
                </c:pt>
                <c:pt idx="12">
                  <c:v>41425</c:v>
                </c:pt>
                <c:pt idx="13">
                  <c:v>41394</c:v>
                </c:pt>
                <c:pt idx="14">
                  <c:v>41364</c:v>
                </c:pt>
                <c:pt idx="15">
                  <c:v>41333</c:v>
                </c:pt>
                <c:pt idx="16">
                  <c:v>41305</c:v>
                </c:pt>
                <c:pt idx="17">
                  <c:v>41274</c:v>
                </c:pt>
                <c:pt idx="18">
                  <c:v>41243</c:v>
                </c:pt>
                <c:pt idx="19">
                  <c:v>41213</c:v>
                </c:pt>
                <c:pt idx="20">
                  <c:v>41182</c:v>
                </c:pt>
                <c:pt idx="21">
                  <c:v>41152</c:v>
                </c:pt>
                <c:pt idx="22">
                  <c:v>41121</c:v>
                </c:pt>
                <c:pt idx="23">
                  <c:v>41090</c:v>
                </c:pt>
                <c:pt idx="24">
                  <c:v>41060</c:v>
                </c:pt>
                <c:pt idx="25">
                  <c:v>41029</c:v>
                </c:pt>
                <c:pt idx="26">
                  <c:v>40999</c:v>
                </c:pt>
                <c:pt idx="27">
                  <c:v>40968</c:v>
                </c:pt>
              </c:numCache>
            </c:numRef>
          </c:cat>
          <c:val>
            <c:numRef>
              <c:f>锌下游!$L$4:$L$31</c:f>
              <c:numCache>
                <c:formatCode>###,###,###,###,##0.00</c:formatCode>
                <c:ptCount val="28"/>
                <c:pt idx="0">
                  <c:v>-0.32000000000000067</c:v>
                </c:pt>
                <c:pt idx="1">
                  <c:v>0.1</c:v>
                </c:pt>
                <c:pt idx="2">
                  <c:v>0.38000000000000067</c:v>
                </c:pt>
                <c:pt idx="3">
                  <c:v>0.54</c:v>
                </c:pt>
                <c:pt idx="4">
                  <c:v>0.63000000000000134</c:v>
                </c:pt>
                <c:pt idx="5">
                  <c:v>0.70000000000000062</c:v>
                </c:pt>
                <c:pt idx="6">
                  <c:v>0.68</c:v>
                </c:pt>
                <c:pt idx="7">
                  <c:v>1.24</c:v>
                </c:pt>
                <c:pt idx="8">
                  <c:v>1.07</c:v>
                </c:pt>
                <c:pt idx="9">
                  <c:v>0.92</c:v>
                </c:pt>
                <c:pt idx="10">
                  <c:v>0.87000000000000122</c:v>
                </c:pt>
                <c:pt idx="11">
                  <c:v>0.77000000000000135</c:v>
                </c:pt>
                <c:pt idx="12">
                  <c:v>0.81</c:v>
                </c:pt>
                <c:pt idx="13">
                  <c:v>1</c:v>
                </c:pt>
                <c:pt idx="14">
                  <c:v>1.06</c:v>
                </c:pt>
                <c:pt idx="15">
                  <c:v>0.83000000000000063</c:v>
                </c:pt>
                <c:pt idx="16">
                  <c:v>1</c:v>
                </c:pt>
                <c:pt idx="17">
                  <c:v>0.22700000000000001</c:v>
                </c:pt>
                <c:pt idx="18">
                  <c:v>0.41400000000000031</c:v>
                </c:pt>
                <c:pt idx="19">
                  <c:v>0.13500000000000001</c:v>
                </c:pt>
                <c:pt idx="20">
                  <c:v>0.27</c:v>
                </c:pt>
                <c:pt idx="21">
                  <c:v>0.29200000000000031</c:v>
                </c:pt>
                <c:pt idx="22">
                  <c:v>0.36600000000000038</c:v>
                </c:pt>
                <c:pt idx="23">
                  <c:v>0.29400000000000032</c:v>
                </c:pt>
                <c:pt idx="24">
                  <c:v>-0.65700000000000158</c:v>
                </c:pt>
                <c:pt idx="25">
                  <c:v>-0.38400000000000067</c:v>
                </c:pt>
                <c:pt idx="26">
                  <c:v>-0.32100000000000067</c:v>
                </c:pt>
                <c:pt idx="27">
                  <c:v>-0.43300000000000038</c:v>
                </c:pt>
              </c:numCache>
            </c:numRef>
          </c:val>
        </c:ser>
        <c:marker val="1"/>
        <c:axId val="230744064"/>
        <c:axId val="230738176"/>
      </c:lineChart>
      <c:dateAx>
        <c:axId val="230722560"/>
        <c:scaling>
          <c:orientation val="minMax"/>
        </c:scaling>
        <c:axPos val="b"/>
        <c:numFmt formatCode="yyyy\-mm;@" sourceLinked="1"/>
        <c:tickLblPos val="nextTo"/>
        <c:txPr>
          <a:bodyPr rot="-5400000" vert="horz"/>
          <a:lstStyle/>
          <a:p>
            <a:pPr>
              <a:defRPr sz="750" baseline="0"/>
            </a:pPr>
            <a:endParaRPr lang="zh-CN"/>
          </a:p>
        </c:txPr>
        <c:crossAx val="230736640"/>
        <c:crosses val="autoZero"/>
        <c:auto val="1"/>
        <c:lblOffset val="100"/>
      </c:dateAx>
      <c:valAx>
        <c:axId val="230736640"/>
        <c:scaling>
          <c:orientation val="minMax"/>
        </c:scaling>
        <c:axPos val="l"/>
        <c:majorGridlines/>
        <c:numFmt formatCode="General" sourceLinked="0"/>
        <c:tickLblPos val="nextTo"/>
        <c:txPr>
          <a:bodyPr/>
          <a:lstStyle/>
          <a:p>
            <a:pPr>
              <a:defRPr sz="700" baseline="0"/>
            </a:pPr>
            <a:endParaRPr lang="zh-CN"/>
          </a:p>
        </c:txPr>
        <c:crossAx val="230722560"/>
        <c:crosses val="autoZero"/>
        <c:crossBetween val="between"/>
      </c:valAx>
      <c:valAx>
        <c:axId val="230738176"/>
        <c:scaling>
          <c:orientation val="minMax"/>
        </c:scaling>
        <c:axPos val="r"/>
        <c:numFmt formatCode="###,###,###,###,##0.00" sourceLinked="1"/>
        <c:tickLblPos val="nextTo"/>
        <c:txPr>
          <a:bodyPr/>
          <a:lstStyle/>
          <a:p>
            <a:pPr>
              <a:defRPr sz="700" baseline="0"/>
            </a:pPr>
            <a:endParaRPr lang="zh-CN"/>
          </a:p>
        </c:txPr>
        <c:crossAx val="230744064"/>
        <c:crosses val="max"/>
        <c:crossBetween val="between"/>
      </c:valAx>
      <c:dateAx>
        <c:axId val="230744064"/>
        <c:scaling>
          <c:orientation val="minMax"/>
        </c:scaling>
        <c:delete val="1"/>
        <c:axPos val="b"/>
        <c:numFmt formatCode="yyyy\-mm;@" sourceLinked="1"/>
        <c:tickLblPos val="none"/>
        <c:crossAx val="230738176"/>
        <c:crosses val="autoZero"/>
        <c:auto val="1"/>
        <c:lblOffset val="100"/>
      </c:dateAx>
    </c:plotArea>
    <c:legend>
      <c:legendPos val="t"/>
    </c:legend>
    <c:plotVisOnly val="1"/>
    <c:dispBlanksAs val="gap"/>
  </c:chart>
  <c:spPr>
    <a:ln>
      <a:noFill/>
    </a:ln>
  </c:spPr>
  <c:txPr>
    <a:bodyPr/>
    <a:lstStyle/>
    <a:p>
      <a:pPr>
        <a:defRPr sz="800" baseline="0"/>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8571741032371027E-2"/>
          <c:y val="8.1693489623488602E-2"/>
          <c:w val="0.78184251968503971"/>
          <c:h val="0.70481470617073805"/>
        </c:manualLayout>
      </c:layout>
      <c:barChart>
        <c:barDir val="col"/>
        <c:grouping val="clustered"/>
        <c:ser>
          <c:idx val="0"/>
          <c:order val="0"/>
          <c:tx>
            <c:strRef>
              <c:f>工业品产量!$N$2</c:f>
              <c:strCache>
                <c:ptCount val="1"/>
                <c:pt idx="0">
                  <c:v>彩电当月产量（万台）</c:v>
                </c:pt>
              </c:strCache>
            </c:strRef>
          </c:tx>
          <c:cat>
            <c:numRef>
              <c:f>工业品产量!$H$12:$H$66</c:f>
              <c:numCache>
                <c:formatCode>yyyy\-mm;@</c:formatCode>
                <c:ptCount val="55"/>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pt idx="52">
                  <c:v>40147</c:v>
                </c:pt>
                <c:pt idx="53">
                  <c:v>40117</c:v>
                </c:pt>
                <c:pt idx="54">
                  <c:v>40086</c:v>
                </c:pt>
              </c:numCache>
            </c:numRef>
          </c:cat>
          <c:val>
            <c:numRef>
              <c:f>工业品产量!$N$12:$N$66</c:f>
              <c:numCache>
                <c:formatCode>###,###,###,###,##0.00</c:formatCode>
                <c:ptCount val="55"/>
                <c:pt idx="0">
                  <c:v>1353.8112999999998</c:v>
                </c:pt>
                <c:pt idx="1">
                  <c:v>1330</c:v>
                </c:pt>
                <c:pt idx="2">
                  <c:v>0</c:v>
                </c:pt>
                <c:pt idx="3">
                  <c:v>1490.9646</c:v>
                </c:pt>
                <c:pt idx="4">
                  <c:v>1427.3697</c:v>
                </c:pt>
                <c:pt idx="5">
                  <c:v>1303.5710999999999</c:v>
                </c:pt>
                <c:pt idx="6">
                  <c:v>1511.7616</c:v>
                </c:pt>
                <c:pt idx="7">
                  <c:v>1278.2087000000001</c:v>
                </c:pt>
                <c:pt idx="8">
                  <c:v>969.76689999999996</c:v>
                </c:pt>
                <c:pt idx="9">
                  <c:v>974.57</c:v>
                </c:pt>
                <c:pt idx="10">
                  <c:v>995.54899999999998</c:v>
                </c:pt>
                <c:pt idx="11">
                  <c:v>1173.2</c:v>
                </c:pt>
                <c:pt idx="12">
                  <c:v>1119.3</c:v>
                </c:pt>
                <c:pt idx="13">
                  <c:v>0</c:v>
                </c:pt>
                <c:pt idx="14">
                  <c:v>0</c:v>
                </c:pt>
                <c:pt idx="15">
                  <c:v>1473.2</c:v>
                </c:pt>
                <c:pt idx="16">
                  <c:v>1389.6</c:v>
                </c:pt>
                <c:pt idx="17">
                  <c:v>1456.9</c:v>
                </c:pt>
                <c:pt idx="18">
                  <c:v>1643.4</c:v>
                </c:pt>
                <c:pt idx="19">
                  <c:v>1258.8</c:v>
                </c:pt>
                <c:pt idx="20">
                  <c:v>1042.8</c:v>
                </c:pt>
                <c:pt idx="21">
                  <c:v>947.8</c:v>
                </c:pt>
                <c:pt idx="22">
                  <c:v>971.9</c:v>
                </c:pt>
                <c:pt idx="23">
                  <c:v>1151.3</c:v>
                </c:pt>
                <c:pt idx="24">
                  <c:v>1051.2</c:v>
                </c:pt>
                <c:pt idx="25">
                  <c:v>766.16519999999946</c:v>
                </c:pt>
                <c:pt idx="26">
                  <c:v>727.65599999999949</c:v>
                </c:pt>
                <c:pt idx="27">
                  <c:v>1500.9</c:v>
                </c:pt>
                <c:pt idx="28">
                  <c:v>1339</c:v>
                </c:pt>
                <c:pt idx="29">
                  <c:v>1114.9000000000001</c:v>
                </c:pt>
                <c:pt idx="30">
                  <c:v>1316.9</c:v>
                </c:pt>
                <c:pt idx="31">
                  <c:v>1192.8</c:v>
                </c:pt>
                <c:pt idx="32">
                  <c:v>931.9</c:v>
                </c:pt>
                <c:pt idx="33">
                  <c:v>911</c:v>
                </c:pt>
                <c:pt idx="34">
                  <c:v>903.7</c:v>
                </c:pt>
                <c:pt idx="35">
                  <c:v>906.3</c:v>
                </c:pt>
                <c:pt idx="36">
                  <c:v>778.9</c:v>
                </c:pt>
                <c:pt idx="37">
                  <c:v>587.4</c:v>
                </c:pt>
                <c:pt idx="38">
                  <c:v>909.79269999999997</c:v>
                </c:pt>
                <c:pt idx="39">
                  <c:v>1286.8</c:v>
                </c:pt>
                <c:pt idx="40">
                  <c:v>1209.3</c:v>
                </c:pt>
                <c:pt idx="41">
                  <c:v>1116.8</c:v>
                </c:pt>
                <c:pt idx="42">
                  <c:v>1225.8</c:v>
                </c:pt>
                <c:pt idx="43">
                  <c:v>982.1</c:v>
                </c:pt>
                <c:pt idx="44">
                  <c:v>829.1</c:v>
                </c:pt>
                <c:pt idx="45">
                  <c:v>856.8</c:v>
                </c:pt>
                <c:pt idx="46">
                  <c:v>882.8</c:v>
                </c:pt>
                <c:pt idx="47">
                  <c:v>916.2</c:v>
                </c:pt>
                <c:pt idx="48">
                  <c:v>796.5</c:v>
                </c:pt>
                <c:pt idx="49">
                  <c:v>689.9</c:v>
                </c:pt>
                <c:pt idx="50">
                  <c:v>1111.4170000000001</c:v>
                </c:pt>
                <c:pt idx="51">
                  <c:v>1254.3899999999999</c:v>
                </c:pt>
                <c:pt idx="52">
                  <c:v>1110.46</c:v>
                </c:pt>
                <c:pt idx="53">
                  <c:v>1055.73</c:v>
                </c:pt>
                <c:pt idx="54">
                  <c:v>1154.04</c:v>
                </c:pt>
              </c:numCache>
            </c:numRef>
          </c:val>
        </c:ser>
        <c:axId val="230778752"/>
        <c:axId val="230777216"/>
      </c:barChart>
      <c:lineChart>
        <c:grouping val="standard"/>
        <c:ser>
          <c:idx val="1"/>
          <c:order val="1"/>
          <c:tx>
            <c:strRef>
              <c:f>工业品产量!$O$2</c:f>
              <c:strCache>
                <c:ptCount val="1"/>
                <c:pt idx="0">
                  <c:v>彩电当月产量同比（左轴）</c:v>
                </c:pt>
              </c:strCache>
            </c:strRef>
          </c:tx>
          <c:marker>
            <c:symbol val="none"/>
          </c:marker>
          <c:cat>
            <c:numRef>
              <c:f>工业品产量!$H$12:$H$67</c:f>
              <c:numCache>
                <c:formatCode>yyyy\-mm;@</c:formatCode>
                <c:ptCount val="56"/>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pt idx="52">
                  <c:v>40147</c:v>
                </c:pt>
                <c:pt idx="53">
                  <c:v>40117</c:v>
                </c:pt>
                <c:pt idx="54">
                  <c:v>40086</c:v>
                </c:pt>
                <c:pt idx="55">
                  <c:v>40056</c:v>
                </c:pt>
              </c:numCache>
            </c:numRef>
          </c:cat>
          <c:val>
            <c:numRef>
              <c:f>工业品产量!$O$12:$O$66</c:f>
              <c:numCache>
                <c:formatCode>###,###,###,###,##0.00</c:formatCode>
                <c:ptCount val="55"/>
                <c:pt idx="0">
                  <c:v>15.733700000000001</c:v>
                </c:pt>
                <c:pt idx="1">
                  <c:v>19.899999999999999</c:v>
                </c:pt>
                <c:pt idx="2">
                  <c:v>0</c:v>
                </c:pt>
                <c:pt idx="3">
                  <c:v>0.65840000000000054</c:v>
                </c:pt>
                <c:pt idx="4">
                  <c:v>-3.3158999999999974</c:v>
                </c:pt>
                <c:pt idx="5">
                  <c:v>-12.955300000000006</c:v>
                </c:pt>
                <c:pt idx="6">
                  <c:v>-4.5437000000000003</c:v>
                </c:pt>
                <c:pt idx="7">
                  <c:v>2.3319999999999976</c:v>
                </c:pt>
                <c:pt idx="8">
                  <c:v>-9.9799000000000007</c:v>
                </c:pt>
                <c:pt idx="9">
                  <c:v>4.0814000000000004</c:v>
                </c:pt>
                <c:pt idx="10">
                  <c:v>5.4252000000000002</c:v>
                </c:pt>
                <c:pt idx="11">
                  <c:v>1.4</c:v>
                </c:pt>
                <c:pt idx="12">
                  <c:v>3.1</c:v>
                </c:pt>
                <c:pt idx="13">
                  <c:v>0</c:v>
                </c:pt>
                <c:pt idx="14">
                  <c:v>0</c:v>
                </c:pt>
                <c:pt idx="15">
                  <c:v>-2.7</c:v>
                </c:pt>
                <c:pt idx="16">
                  <c:v>6.2</c:v>
                </c:pt>
                <c:pt idx="17">
                  <c:v>18.899999999999999</c:v>
                </c:pt>
                <c:pt idx="18">
                  <c:v>15.1</c:v>
                </c:pt>
                <c:pt idx="19">
                  <c:v>3.6</c:v>
                </c:pt>
                <c:pt idx="20">
                  <c:v>4</c:v>
                </c:pt>
                <c:pt idx="21">
                  <c:v>-1.9000000000000001</c:v>
                </c:pt>
                <c:pt idx="22">
                  <c:v>5.8</c:v>
                </c:pt>
                <c:pt idx="23">
                  <c:v>22.9</c:v>
                </c:pt>
                <c:pt idx="24">
                  <c:v>25</c:v>
                </c:pt>
                <c:pt idx="25">
                  <c:v>42.6648</c:v>
                </c:pt>
                <c:pt idx="26">
                  <c:v>-13.707700000000001</c:v>
                </c:pt>
                <c:pt idx="27">
                  <c:v>22.9</c:v>
                </c:pt>
                <c:pt idx="28">
                  <c:v>16.8</c:v>
                </c:pt>
                <c:pt idx="29">
                  <c:v>2.8</c:v>
                </c:pt>
                <c:pt idx="30">
                  <c:v>9</c:v>
                </c:pt>
                <c:pt idx="31">
                  <c:v>20.2</c:v>
                </c:pt>
                <c:pt idx="32">
                  <c:v>19.5</c:v>
                </c:pt>
                <c:pt idx="33">
                  <c:v>10</c:v>
                </c:pt>
                <c:pt idx="34">
                  <c:v>6.7</c:v>
                </c:pt>
                <c:pt idx="35">
                  <c:v>5.7</c:v>
                </c:pt>
                <c:pt idx="36">
                  <c:v>3</c:v>
                </c:pt>
                <c:pt idx="37">
                  <c:v>-8.5</c:v>
                </c:pt>
                <c:pt idx="38">
                  <c:v>-13.5709</c:v>
                </c:pt>
                <c:pt idx="39">
                  <c:v>-2.9</c:v>
                </c:pt>
                <c:pt idx="40">
                  <c:v>-2.7</c:v>
                </c:pt>
                <c:pt idx="41">
                  <c:v>-4.4000000000000004</c:v>
                </c:pt>
                <c:pt idx="42">
                  <c:v>-2.6</c:v>
                </c:pt>
                <c:pt idx="43">
                  <c:v>-10.7</c:v>
                </c:pt>
                <c:pt idx="44">
                  <c:v>-11.8</c:v>
                </c:pt>
                <c:pt idx="45">
                  <c:v>-0.1</c:v>
                </c:pt>
                <c:pt idx="46">
                  <c:v>8.7000000000000011</c:v>
                </c:pt>
                <c:pt idx="47">
                  <c:v>-10.4</c:v>
                </c:pt>
                <c:pt idx="48">
                  <c:v>6.1</c:v>
                </c:pt>
                <c:pt idx="49">
                  <c:v>31.7</c:v>
                </c:pt>
                <c:pt idx="50">
                  <c:v>104.1601</c:v>
                </c:pt>
                <c:pt idx="51">
                  <c:v>42.5</c:v>
                </c:pt>
                <c:pt idx="52">
                  <c:v>31.5</c:v>
                </c:pt>
                <c:pt idx="53">
                  <c:v>13.7</c:v>
                </c:pt>
                <c:pt idx="54">
                  <c:v>5.3</c:v>
                </c:pt>
              </c:numCache>
            </c:numRef>
          </c:val>
        </c:ser>
        <c:marker val="1"/>
        <c:axId val="230765696"/>
        <c:axId val="230767232"/>
      </c:lineChart>
      <c:dateAx>
        <c:axId val="230765696"/>
        <c:scaling>
          <c:orientation val="minMax"/>
        </c:scaling>
        <c:axPos val="b"/>
        <c:numFmt formatCode="yyyy\-mm;@" sourceLinked="1"/>
        <c:tickLblPos val="low"/>
        <c:txPr>
          <a:bodyPr/>
          <a:lstStyle/>
          <a:p>
            <a:pPr>
              <a:defRPr lang="en-US" sz="800"/>
            </a:pPr>
            <a:endParaRPr lang="zh-CN"/>
          </a:p>
        </c:txPr>
        <c:crossAx val="230767232"/>
        <c:crosses val="autoZero"/>
        <c:auto val="1"/>
        <c:lblOffset val="100"/>
      </c:dateAx>
      <c:valAx>
        <c:axId val="230767232"/>
        <c:scaling>
          <c:orientation val="minMax"/>
        </c:scaling>
        <c:axPos val="l"/>
        <c:majorGridlines/>
        <c:numFmt formatCode="###,###,###,###,##0" sourceLinked="0"/>
        <c:tickLblPos val="nextTo"/>
        <c:txPr>
          <a:bodyPr/>
          <a:lstStyle/>
          <a:p>
            <a:pPr>
              <a:defRPr lang="en-US" sz="800"/>
            </a:pPr>
            <a:endParaRPr lang="zh-CN"/>
          </a:p>
        </c:txPr>
        <c:crossAx val="230765696"/>
        <c:crosses val="autoZero"/>
        <c:crossBetween val="between"/>
      </c:valAx>
      <c:valAx>
        <c:axId val="230777216"/>
        <c:scaling>
          <c:orientation val="minMax"/>
        </c:scaling>
        <c:axPos val="r"/>
        <c:numFmt formatCode="###,###,###,###,##0" sourceLinked="0"/>
        <c:tickLblPos val="nextTo"/>
        <c:txPr>
          <a:bodyPr/>
          <a:lstStyle/>
          <a:p>
            <a:pPr>
              <a:defRPr lang="en-US" sz="800"/>
            </a:pPr>
            <a:endParaRPr lang="zh-CN"/>
          </a:p>
        </c:txPr>
        <c:crossAx val="230778752"/>
        <c:crosses val="max"/>
        <c:crossBetween val="between"/>
      </c:valAx>
      <c:dateAx>
        <c:axId val="230778752"/>
        <c:scaling>
          <c:orientation val="minMax"/>
        </c:scaling>
        <c:delete val="1"/>
        <c:axPos val="b"/>
        <c:numFmt formatCode="yyyy\-mm;@" sourceLinked="1"/>
        <c:tickLblPos val="none"/>
        <c:crossAx val="230777216"/>
        <c:crosses val="autoZero"/>
        <c:auto val="1"/>
        <c:lblOffset val="100"/>
      </c:dateAx>
    </c:plotArea>
    <c:legend>
      <c:legendPos val="t"/>
      <c:layout>
        <c:manualLayout>
          <c:xMode val="edge"/>
          <c:yMode val="edge"/>
          <c:x val="4.9999972844107433E-2"/>
          <c:y val="6.1922603255534173E-4"/>
          <c:w val="0.89999978275285797"/>
          <c:h val="7.1542983522159306E-2"/>
        </c:manualLayout>
      </c:layout>
      <c:spPr>
        <a:ln>
          <a:noFill/>
        </a:ln>
      </c:spPr>
      <c:txPr>
        <a:bodyPr/>
        <a:lstStyle/>
        <a:p>
          <a:pPr>
            <a:defRPr lang="en-US" sz="900"/>
          </a:pPr>
          <a:endParaRPr lang="zh-CN"/>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514129483814523"/>
          <c:y val="9.1581234855453109E-2"/>
          <c:w val="0.8498587051618548"/>
          <c:h val="0.696816303224425"/>
        </c:manualLayout>
      </c:layout>
      <c:barChart>
        <c:barDir val="col"/>
        <c:grouping val="clustered"/>
        <c:ser>
          <c:idx val="0"/>
          <c:order val="0"/>
          <c:tx>
            <c:strRef>
              <c:f>工业品产量!$P$2</c:f>
              <c:strCache>
                <c:ptCount val="1"/>
                <c:pt idx="0">
                  <c:v>空调当月产量（万台）</c:v>
                </c:pt>
              </c:strCache>
            </c:strRef>
          </c:tx>
          <c:cat>
            <c:numRef>
              <c:f>工业品产量!$H$12:$H$63</c:f>
              <c:numCache>
                <c:formatCode>yyyy\-mm;@</c:formatCode>
                <c:ptCount val="52"/>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numCache>
            </c:numRef>
          </c:cat>
          <c:val>
            <c:numRef>
              <c:f>工业品产量!$P$12:$P$63</c:f>
              <c:numCache>
                <c:formatCode>###,###,###,###,##0.00</c:formatCode>
                <c:ptCount val="52"/>
                <c:pt idx="0">
                  <c:v>1685.5127</c:v>
                </c:pt>
                <c:pt idx="1">
                  <c:v>1749.2</c:v>
                </c:pt>
                <c:pt idx="2">
                  <c:v>0</c:v>
                </c:pt>
                <c:pt idx="3">
                  <c:v>1302.6418999999999</c:v>
                </c:pt>
                <c:pt idx="4">
                  <c:v>1069.3486</c:v>
                </c:pt>
                <c:pt idx="5">
                  <c:v>1066.3751</c:v>
                </c:pt>
                <c:pt idx="6">
                  <c:v>1121.7461000000001</c:v>
                </c:pt>
                <c:pt idx="7">
                  <c:v>1018.3810999999994</c:v>
                </c:pt>
                <c:pt idx="8">
                  <c:v>1191.1378</c:v>
                </c:pt>
                <c:pt idx="9">
                  <c:v>1316.2599</c:v>
                </c:pt>
                <c:pt idx="10">
                  <c:v>1532.6167</c:v>
                </c:pt>
                <c:pt idx="11">
                  <c:v>1592.1</c:v>
                </c:pt>
                <c:pt idx="12">
                  <c:v>1605.7</c:v>
                </c:pt>
                <c:pt idx="13">
                  <c:v>769</c:v>
                </c:pt>
                <c:pt idx="14">
                  <c:v>0</c:v>
                </c:pt>
                <c:pt idx="15">
                  <c:v>1029.0999999999999</c:v>
                </c:pt>
                <c:pt idx="16">
                  <c:v>1042.4000000000001</c:v>
                </c:pt>
                <c:pt idx="17">
                  <c:v>903.2</c:v>
                </c:pt>
                <c:pt idx="18">
                  <c:v>961.2</c:v>
                </c:pt>
                <c:pt idx="19">
                  <c:v>758.6</c:v>
                </c:pt>
                <c:pt idx="20">
                  <c:v>834.7</c:v>
                </c:pt>
                <c:pt idx="21">
                  <c:v>1125.7</c:v>
                </c:pt>
                <c:pt idx="22">
                  <c:v>1795.5</c:v>
                </c:pt>
                <c:pt idx="23">
                  <c:v>1557.3</c:v>
                </c:pt>
                <c:pt idx="24">
                  <c:v>1412.9</c:v>
                </c:pt>
                <c:pt idx="25">
                  <c:v>1108.0478000000001</c:v>
                </c:pt>
                <c:pt idx="26">
                  <c:v>857.29020000000003</c:v>
                </c:pt>
                <c:pt idx="27">
                  <c:v>1044.4000000000001</c:v>
                </c:pt>
                <c:pt idx="28">
                  <c:v>887.9</c:v>
                </c:pt>
                <c:pt idx="29">
                  <c:v>818.9</c:v>
                </c:pt>
                <c:pt idx="30">
                  <c:v>896.5</c:v>
                </c:pt>
                <c:pt idx="31">
                  <c:v>1119.0999999999999</c:v>
                </c:pt>
                <c:pt idx="32">
                  <c:v>1329</c:v>
                </c:pt>
                <c:pt idx="33">
                  <c:v>1604</c:v>
                </c:pt>
                <c:pt idx="34">
                  <c:v>1628.8</c:v>
                </c:pt>
                <c:pt idx="35">
                  <c:v>1761.2</c:v>
                </c:pt>
                <c:pt idx="36">
                  <c:v>1462.7</c:v>
                </c:pt>
                <c:pt idx="37">
                  <c:v>899</c:v>
                </c:pt>
                <c:pt idx="38">
                  <c:v>1173.9543999999999</c:v>
                </c:pt>
                <c:pt idx="39">
                  <c:v>1046</c:v>
                </c:pt>
                <c:pt idx="40">
                  <c:v>876.6</c:v>
                </c:pt>
                <c:pt idx="41">
                  <c:v>853.1</c:v>
                </c:pt>
                <c:pt idx="42">
                  <c:v>836.2</c:v>
                </c:pt>
                <c:pt idx="43">
                  <c:v>826.7</c:v>
                </c:pt>
                <c:pt idx="44">
                  <c:v>1035.4000000000001</c:v>
                </c:pt>
                <c:pt idx="45">
                  <c:v>1162.3</c:v>
                </c:pt>
                <c:pt idx="46">
                  <c:v>1254.9000000000001</c:v>
                </c:pt>
                <c:pt idx="47">
                  <c:v>1208.4000000000001</c:v>
                </c:pt>
                <c:pt idx="48">
                  <c:v>1035</c:v>
                </c:pt>
                <c:pt idx="49">
                  <c:v>656.9</c:v>
                </c:pt>
                <c:pt idx="50">
                  <c:v>786.25219999999877</c:v>
                </c:pt>
                <c:pt idx="51">
                  <c:v>729.63</c:v>
                </c:pt>
              </c:numCache>
            </c:numRef>
          </c:val>
        </c:ser>
        <c:axId val="231092224"/>
        <c:axId val="231086336"/>
      </c:barChart>
      <c:lineChart>
        <c:grouping val="standard"/>
        <c:ser>
          <c:idx val="1"/>
          <c:order val="1"/>
          <c:tx>
            <c:strRef>
              <c:f>工业品产量!$Q$2</c:f>
              <c:strCache>
                <c:ptCount val="1"/>
                <c:pt idx="0">
                  <c:v>空调当月产量同比（左轴）</c:v>
                </c:pt>
              </c:strCache>
            </c:strRef>
          </c:tx>
          <c:marker>
            <c:symbol val="none"/>
          </c:marker>
          <c:cat>
            <c:numRef>
              <c:f>工业品产量!$H$12:$H$65</c:f>
              <c:numCache>
                <c:formatCode>yyyy\-mm;@</c:formatCode>
                <c:ptCount val="54"/>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pt idx="52">
                  <c:v>40147</c:v>
                </c:pt>
                <c:pt idx="53">
                  <c:v>40117</c:v>
                </c:pt>
              </c:numCache>
            </c:numRef>
          </c:cat>
          <c:val>
            <c:numRef>
              <c:f>工业品产量!$Q$12:$Q$63</c:f>
              <c:numCache>
                <c:formatCode>###,###,###,###,##0.00</c:formatCode>
                <c:ptCount val="52"/>
                <c:pt idx="0">
                  <c:v>8.9591000000000047</c:v>
                </c:pt>
                <c:pt idx="1">
                  <c:v>12.2</c:v>
                </c:pt>
                <c:pt idx="2">
                  <c:v>0</c:v>
                </c:pt>
                <c:pt idx="3">
                  <c:v>13.062000000000006</c:v>
                </c:pt>
                <c:pt idx="4">
                  <c:v>6.8216999999999999</c:v>
                </c:pt>
                <c:pt idx="5">
                  <c:v>11.831100000000001</c:v>
                </c:pt>
                <c:pt idx="6">
                  <c:v>9.1915000000000013</c:v>
                </c:pt>
                <c:pt idx="7">
                  <c:v>24.594100000000001</c:v>
                </c:pt>
                <c:pt idx="8">
                  <c:v>26.660299999999989</c:v>
                </c:pt>
                <c:pt idx="9">
                  <c:v>15.916500000000006</c:v>
                </c:pt>
                <c:pt idx="10">
                  <c:v>-13.5717</c:v>
                </c:pt>
                <c:pt idx="11">
                  <c:v>3.8</c:v>
                </c:pt>
                <c:pt idx="12">
                  <c:v>24.3</c:v>
                </c:pt>
                <c:pt idx="13">
                  <c:v>-33.04</c:v>
                </c:pt>
                <c:pt idx="14">
                  <c:v>0</c:v>
                </c:pt>
                <c:pt idx="15">
                  <c:v>25.2</c:v>
                </c:pt>
                <c:pt idx="16">
                  <c:v>17.899999999999999</c:v>
                </c:pt>
                <c:pt idx="17">
                  <c:v>31</c:v>
                </c:pt>
                <c:pt idx="18">
                  <c:v>13.7</c:v>
                </c:pt>
                <c:pt idx="19">
                  <c:v>1.9000000000000001</c:v>
                </c:pt>
                <c:pt idx="20">
                  <c:v>-18</c:v>
                </c:pt>
                <c:pt idx="21">
                  <c:v>-6.2</c:v>
                </c:pt>
                <c:pt idx="22">
                  <c:v>3</c:v>
                </c:pt>
                <c:pt idx="23">
                  <c:v>8.1</c:v>
                </c:pt>
                <c:pt idx="24">
                  <c:v>-3.7</c:v>
                </c:pt>
                <c:pt idx="25">
                  <c:v>28.448599999999917</c:v>
                </c:pt>
                <c:pt idx="26">
                  <c:v>-28.7209</c:v>
                </c:pt>
                <c:pt idx="27">
                  <c:v>4.5</c:v>
                </c:pt>
                <c:pt idx="28">
                  <c:v>-1</c:v>
                </c:pt>
                <c:pt idx="29">
                  <c:v>-3.8</c:v>
                </c:pt>
                <c:pt idx="30">
                  <c:v>4.5</c:v>
                </c:pt>
                <c:pt idx="31">
                  <c:v>36.5</c:v>
                </c:pt>
                <c:pt idx="32">
                  <c:v>28.7</c:v>
                </c:pt>
                <c:pt idx="33">
                  <c:v>37.6</c:v>
                </c:pt>
                <c:pt idx="34">
                  <c:v>29.4</c:v>
                </c:pt>
                <c:pt idx="35">
                  <c:v>32.5</c:v>
                </c:pt>
                <c:pt idx="36">
                  <c:v>41.1</c:v>
                </c:pt>
                <c:pt idx="37">
                  <c:v>51.1</c:v>
                </c:pt>
                <c:pt idx="38">
                  <c:v>57.843899999999998</c:v>
                </c:pt>
                <c:pt idx="39">
                  <c:v>48.4</c:v>
                </c:pt>
                <c:pt idx="40">
                  <c:v>33.6</c:v>
                </c:pt>
                <c:pt idx="41">
                  <c:v>42.2</c:v>
                </c:pt>
                <c:pt idx="42">
                  <c:v>42</c:v>
                </c:pt>
                <c:pt idx="43">
                  <c:v>34.800000000000004</c:v>
                </c:pt>
                <c:pt idx="44">
                  <c:v>45.6</c:v>
                </c:pt>
                <c:pt idx="45">
                  <c:v>47.3</c:v>
                </c:pt>
                <c:pt idx="46">
                  <c:v>69.900000000000006</c:v>
                </c:pt>
                <c:pt idx="47">
                  <c:v>27.5</c:v>
                </c:pt>
                <c:pt idx="48">
                  <c:v>24.4</c:v>
                </c:pt>
                <c:pt idx="49">
                  <c:v>-9.5</c:v>
                </c:pt>
                <c:pt idx="50">
                  <c:v>94.273200000000003</c:v>
                </c:pt>
                <c:pt idx="51">
                  <c:v>40.700000000000003</c:v>
                </c:pt>
              </c:numCache>
            </c:numRef>
          </c:val>
        </c:ser>
        <c:marker val="1"/>
        <c:axId val="231074816"/>
        <c:axId val="231084800"/>
      </c:lineChart>
      <c:dateAx>
        <c:axId val="231074816"/>
        <c:scaling>
          <c:orientation val="minMax"/>
        </c:scaling>
        <c:axPos val="b"/>
        <c:numFmt formatCode="yyyy\-mm;@" sourceLinked="1"/>
        <c:tickLblPos val="low"/>
        <c:txPr>
          <a:bodyPr/>
          <a:lstStyle/>
          <a:p>
            <a:pPr>
              <a:defRPr lang="en-US" sz="800"/>
            </a:pPr>
            <a:endParaRPr lang="zh-CN"/>
          </a:p>
        </c:txPr>
        <c:crossAx val="231084800"/>
        <c:crosses val="autoZero"/>
        <c:auto val="1"/>
        <c:lblOffset val="100"/>
      </c:dateAx>
      <c:valAx>
        <c:axId val="231084800"/>
        <c:scaling>
          <c:orientation val="minMax"/>
        </c:scaling>
        <c:axPos val="l"/>
        <c:majorGridlines/>
        <c:numFmt formatCode="###,###,###,###,##0" sourceLinked="0"/>
        <c:tickLblPos val="nextTo"/>
        <c:txPr>
          <a:bodyPr/>
          <a:lstStyle/>
          <a:p>
            <a:pPr>
              <a:defRPr lang="en-US" sz="800"/>
            </a:pPr>
            <a:endParaRPr lang="zh-CN"/>
          </a:p>
        </c:txPr>
        <c:crossAx val="231074816"/>
        <c:crosses val="autoZero"/>
        <c:crossBetween val="between"/>
      </c:valAx>
      <c:valAx>
        <c:axId val="231086336"/>
        <c:scaling>
          <c:orientation val="minMax"/>
        </c:scaling>
        <c:axPos val="r"/>
        <c:numFmt formatCode="###,###,###,###,##0" sourceLinked="0"/>
        <c:tickLblPos val="nextTo"/>
        <c:txPr>
          <a:bodyPr/>
          <a:lstStyle/>
          <a:p>
            <a:pPr>
              <a:defRPr lang="en-US" sz="800"/>
            </a:pPr>
            <a:endParaRPr lang="zh-CN"/>
          </a:p>
        </c:txPr>
        <c:crossAx val="231092224"/>
        <c:crosses val="max"/>
        <c:crossBetween val="between"/>
      </c:valAx>
      <c:dateAx>
        <c:axId val="231092224"/>
        <c:scaling>
          <c:orientation val="minMax"/>
        </c:scaling>
        <c:delete val="1"/>
        <c:axPos val="b"/>
        <c:numFmt formatCode="yyyy\-mm;@" sourceLinked="1"/>
        <c:tickLblPos val="none"/>
        <c:crossAx val="231086336"/>
        <c:crosses val="autoZero"/>
        <c:auto val="1"/>
        <c:lblOffset val="100"/>
      </c:dateAx>
    </c:plotArea>
    <c:legend>
      <c:legendPos val="t"/>
      <c:layout>
        <c:manualLayout>
          <c:xMode val="edge"/>
          <c:yMode val="edge"/>
          <c:x val="4.9999986508222904E-2"/>
          <c:y val="5.1212713011618153E-3"/>
          <c:w val="0.89999975714801284"/>
          <c:h val="7.6179515479344845E-2"/>
        </c:manualLayout>
      </c:layout>
      <c:txPr>
        <a:bodyPr/>
        <a:lstStyle/>
        <a:p>
          <a:pPr>
            <a:defRPr lang="en-US" sz="900"/>
          </a:pPr>
          <a:endParaRPr lang="zh-CN"/>
        </a:p>
      </c:txPr>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3637384833068706E-2"/>
          <c:y val="0.10632790623809692"/>
          <c:w val="0.80810505580678371"/>
          <c:h val="0.68081386552048262"/>
        </c:manualLayout>
      </c:layout>
      <c:barChart>
        <c:barDir val="col"/>
        <c:grouping val="clustered"/>
        <c:ser>
          <c:idx val="2"/>
          <c:order val="0"/>
          <c:tx>
            <c:strRef>
              <c:f>工业品产量!$R$2</c:f>
              <c:strCache>
                <c:ptCount val="1"/>
                <c:pt idx="0">
                  <c:v>家用电冰箱当月产量（万台）</c:v>
                </c:pt>
              </c:strCache>
            </c:strRef>
          </c:tx>
          <c:spPr>
            <a:solidFill>
              <a:srgbClr val="4F81BD"/>
            </a:solidFill>
            <a:ln>
              <a:solidFill>
                <a:schemeClr val="accent1"/>
              </a:solidFill>
            </a:ln>
          </c:spPr>
          <c:cat>
            <c:numRef>
              <c:f>工业品产量!$H$12:$H$63</c:f>
              <c:numCache>
                <c:formatCode>yyyy\-mm;@</c:formatCode>
                <c:ptCount val="52"/>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numCache>
            </c:numRef>
          </c:cat>
          <c:val>
            <c:numRef>
              <c:f>工业品产量!$R$12:$R$63</c:f>
              <c:numCache>
                <c:formatCode>###,###,###,###,##0.00</c:formatCode>
                <c:ptCount val="52"/>
                <c:pt idx="0">
                  <c:v>950.9</c:v>
                </c:pt>
                <c:pt idx="1">
                  <c:v>902</c:v>
                </c:pt>
                <c:pt idx="2">
                  <c:v>0</c:v>
                </c:pt>
                <c:pt idx="3">
                  <c:v>735.63519999999949</c:v>
                </c:pt>
                <c:pt idx="4">
                  <c:v>733.85179999999946</c:v>
                </c:pt>
                <c:pt idx="5">
                  <c:v>698.76110000000006</c:v>
                </c:pt>
                <c:pt idx="6">
                  <c:v>783.67610000000002</c:v>
                </c:pt>
                <c:pt idx="7">
                  <c:v>793.11369999999999</c:v>
                </c:pt>
                <c:pt idx="8">
                  <c:v>872.19560000000001</c:v>
                </c:pt>
                <c:pt idx="9">
                  <c:v>920.4991</c:v>
                </c:pt>
                <c:pt idx="10">
                  <c:v>981.72810000000004</c:v>
                </c:pt>
                <c:pt idx="11">
                  <c:v>964.5</c:v>
                </c:pt>
                <c:pt idx="12">
                  <c:v>898.8</c:v>
                </c:pt>
                <c:pt idx="13">
                  <c:v>515.9</c:v>
                </c:pt>
                <c:pt idx="14">
                  <c:v>736</c:v>
                </c:pt>
                <c:pt idx="15">
                  <c:v>770.1</c:v>
                </c:pt>
                <c:pt idx="16">
                  <c:v>645.20000000000005</c:v>
                </c:pt>
                <c:pt idx="17">
                  <c:v>606.9</c:v>
                </c:pt>
                <c:pt idx="18">
                  <c:v>740.3</c:v>
                </c:pt>
                <c:pt idx="19">
                  <c:v>775</c:v>
                </c:pt>
                <c:pt idx="20">
                  <c:v>833.8</c:v>
                </c:pt>
                <c:pt idx="21">
                  <c:v>856.6</c:v>
                </c:pt>
                <c:pt idx="22">
                  <c:v>748.8</c:v>
                </c:pt>
                <c:pt idx="23">
                  <c:v>853.4</c:v>
                </c:pt>
                <c:pt idx="24">
                  <c:v>796.3</c:v>
                </c:pt>
                <c:pt idx="25">
                  <c:v>536.95370000000003</c:v>
                </c:pt>
                <c:pt idx="26">
                  <c:v>647.0385</c:v>
                </c:pt>
                <c:pt idx="27">
                  <c:v>689.7</c:v>
                </c:pt>
                <c:pt idx="28">
                  <c:v>599.1</c:v>
                </c:pt>
                <c:pt idx="29">
                  <c:v>593.5</c:v>
                </c:pt>
                <c:pt idx="30">
                  <c:v>727.5</c:v>
                </c:pt>
                <c:pt idx="31">
                  <c:v>759.1</c:v>
                </c:pt>
                <c:pt idx="32">
                  <c:v>885.6</c:v>
                </c:pt>
                <c:pt idx="33">
                  <c:v>883.4</c:v>
                </c:pt>
                <c:pt idx="34">
                  <c:v>857.3</c:v>
                </c:pt>
                <c:pt idx="35">
                  <c:v>853.2</c:v>
                </c:pt>
                <c:pt idx="36">
                  <c:v>739.2</c:v>
                </c:pt>
                <c:pt idx="37">
                  <c:v>465.8</c:v>
                </c:pt>
                <c:pt idx="38">
                  <c:v>586.58799999999997</c:v>
                </c:pt>
                <c:pt idx="39">
                  <c:v>533.29999999999995</c:v>
                </c:pt>
                <c:pt idx="40">
                  <c:v>500.3</c:v>
                </c:pt>
                <c:pt idx="41">
                  <c:v>494.4</c:v>
                </c:pt>
                <c:pt idx="42">
                  <c:v>645.70000000000005</c:v>
                </c:pt>
                <c:pt idx="43">
                  <c:v>706</c:v>
                </c:pt>
                <c:pt idx="44">
                  <c:v>771.3</c:v>
                </c:pt>
                <c:pt idx="45">
                  <c:v>770.1</c:v>
                </c:pt>
                <c:pt idx="46">
                  <c:v>772.6</c:v>
                </c:pt>
                <c:pt idx="47">
                  <c:v>788.7</c:v>
                </c:pt>
                <c:pt idx="48">
                  <c:v>618.5</c:v>
                </c:pt>
                <c:pt idx="49">
                  <c:v>474</c:v>
                </c:pt>
                <c:pt idx="50">
                  <c:v>501.94690000000003</c:v>
                </c:pt>
                <c:pt idx="51">
                  <c:v>492.69</c:v>
                </c:pt>
              </c:numCache>
            </c:numRef>
          </c:val>
        </c:ser>
        <c:axId val="231122816"/>
        <c:axId val="231121280"/>
      </c:barChart>
      <c:lineChart>
        <c:grouping val="standard"/>
        <c:ser>
          <c:idx val="3"/>
          <c:order val="1"/>
          <c:tx>
            <c:strRef>
              <c:f>工业品产量!$S$2</c:f>
              <c:strCache>
                <c:ptCount val="1"/>
                <c:pt idx="0">
                  <c:v>电冰箱当月产量同比（左轴）</c:v>
                </c:pt>
              </c:strCache>
            </c:strRef>
          </c:tx>
          <c:spPr>
            <a:ln>
              <a:solidFill>
                <a:srgbClr val="C00000"/>
              </a:solidFill>
            </a:ln>
          </c:spPr>
          <c:marker>
            <c:symbol val="none"/>
          </c:marker>
          <c:cat>
            <c:numRef>
              <c:f>工业品产量!$H$12:$H$65</c:f>
              <c:numCache>
                <c:formatCode>yyyy\-mm;@</c:formatCode>
                <c:ptCount val="54"/>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pt idx="52">
                  <c:v>40147</c:v>
                </c:pt>
                <c:pt idx="53">
                  <c:v>40117</c:v>
                </c:pt>
              </c:numCache>
            </c:numRef>
          </c:cat>
          <c:val>
            <c:numRef>
              <c:f>工业品产量!$S$12:$S$63</c:f>
              <c:numCache>
                <c:formatCode>###,###,###,###,##0.00</c:formatCode>
                <c:ptCount val="52"/>
                <c:pt idx="0">
                  <c:v>-0.9</c:v>
                </c:pt>
                <c:pt idx="1">
                  <c:v>1.3</c:v>
                </c:pt>
                <c:pt idx="2">
                  <c:v>0</c:v>
                </c:pt>
                <c:pt idx="3">
                  <c:v>-1.3571</c:v>
                </c:pt>
                <c:pt idx="4">
                  <c:v>12.758000000000001</c:v>
                </c:pt>
                <c:pt idx="5">
                  <c:v>13.1244</c:v>
                </c:pt>
                <c:pt idx="6">
                  <c:v>9.4570000000000007</c:v>
                </c:pt>
                <c:pt idx="7">
                  <c:v>3.3512999999999979</c:v>
                </c:pt>
                <c:pt idx="8">
                  <c:v>3.4247999999999998</c:v>
                </c:pt>
                <c:pt idx="9">
                  <c:v>6.1182999999999996</c:v>
                </c:pt>
                <c:pt idx="10">
                  <c:v>28.517499999999988</c:v>
                </c:pt>
                <c:pt idx="11">
                  <c:v>12.6</c:v>
                </c:pt>
                <c:pt idx="12">
                  <c:v>13.8</c:v>
                </c:pt>
                <c:pt idx="13">
                  <c:v>-2.2000000000000002</c:v>
                </c:pt>
                <c:pt idx="14">
                  <c:v>15.7</c:v>
                </c:pt>
                <c:pt idx="15">
                  <c:v>6.7</c:v>
                </c:pt>
                <c:pt idx="16">
                  <c:v>5.3</c:v>
                </c:pt>
                <c:pt idx="17">
                  <c:v>3.4</c:v>
                </c:pt>
                <c:pt idx="18">
                  <c:v>7.7</c:v>
                </c:pt>
                <c:pt idx="19">
                  <c:v>-0.5</c:v>
                </c:pt>
                <c:pt idx="20">
                  <c:v>-5.8</c:v>
                </c:pt>
                <c:pt idx="21">
                  <c:v>2.2000000000000002</c:v>
                </c:pt>
                <c:pt idx="22">
                  <c:v>0.2</c:v>
                </c:pt>
                <c:pt idx="23">
                  <c:v>1.6</c:v>
                </c:pt>
                <c:pt idx="24">
                  <c:v>1.1000000000000001</c:v>
                </c:pt>
                <c:pt idx="25">
                  <c:v>7.9071999999999996</c:v>
                </c:pt>
                <c:pt idx="26">
                  <c:v>11.5184</c:v>
                </c:pt>
                <c:pt idx="27">
                  <c:v>32.800000000000004</c:v>
                </c:pt>
                <c:pt idx="28">
                  <c:v>27.5</c:v>
                </c:pt>
                <c:pt idx="29">
                  <c:v>26.9</c:v>
                </c:pt>
                <c:pt idx="30">
                  <c:v>16.899999999999999</c:v>
                </c:pt>
                <c:pt idx="31">
                  <c:v>13.5</c:v>
                </c:pt>
                <c:pt idx="32">
                  <c:v>21.1</c:v>
                </c:pt>
                <c:pt idx="33">
                  <c:v>22.1</c:v>
                </c:pt>
                <c:pt idx="34">
                  <c:v>16</c:v>
                </c:pt>
                <c:pt idx="35">
                  <c:v>10.8</c:v>
                </c:pt>
                <c:pt idx="36">
                  <c:v>24.8</c:v>
                </c:pt>
                <c:pt idx="37">
                  <c:v>4.2</c:v>
                </c:pt>
                <c:pt idx="38">
                  <c:v>25.334900000000026</c:v>
                </c:pt>
                <c:pt idx="39">
                  <c:v>11.1</c:v>
                </c:pt>
                <c:pt idx="40">
                  <c:v>29</c:v>
                </c:pt>
                <c:pt idx="41">
                  <c:v>30.8</c:v>
                </c:pt>
                <c:pt idx="42">
                  <c:v>29.7</c:v>
                </c:pt>
                <c:pt idx="43">
                  <c:v>22.4</c:v>
                </c:pt>
                <c:pt idx="44">
                  <c:v>20</c:v>
                </c:pt>
                <c:pt idx="45">
                  <c:v>23.5</c:v>
                </c:pt>
                <c:pt idx="46">
                  <c:v>30.5</c:v>
                </c:pt>
                <c:pt idx="47">
                  <c:v>29.7</c:v>
                </c:pt>
                <c:pt idx="48">
                  <c:v>8.6</c:v>
                </c:pt>
                <c:pt idx="49">
                  <c:v>21.1</c:v>
                </c:pt>
                <c:pt idx="50">
                  <c:v>80.877200000000002</c:v>
                </c:pt>
                <c:pt idx="51">
                  <c:v>31.1</c:v>
                </c:pt>
              </c:numCache>
            </c:numRef>
          </c:val>
        </c:ser>
        <c:marker val="1"/>
        <c:axId val="231109760"/>
        <c:axId val="231111296"/>
      </c:lineChart>
      <c:dateAx>
        <c:axId val="231109760"/>
        <c:scaling>
          <c:orientation val="minMax"/>
        </c:scaling>
        <c:axPos val="b"/>
        <c:numFmt formatCode="yyyy\-mm;@" sourceLinked="1"/>
        <c:tickLblPos val="low"/>
        <c:txPr>
          <a:bodyPr/>
          <a:lstStyle/>
          <a:p>
            <a:pPr>
              <a:defRPr lang="en-US" sz="800"/>
            </a:pPr>
            <a:endParaRPr lang="zh-CN"/>
          </a:p>
        </c:txPr>
        <c:crossAx val="231111296"/>
        <c:crosses val="autoZero"/>
        <c:auto val="1"/>
        <c:lblOffset val="100"/>
      </c:dateAx>
      <c:valAx>
        <c:axId val="231111296"/>
        <c:scaling>
          <c:orientation val="minMax"/>
        </c:scaling>
        <c:axPos val="l"/>
        <c:majorGridlines/>
        <c:numFmt formatCode="###,###,###,###,##0" sourceLinked="0"/>
        <c:tickLblPos val="nextTo"/>
        <c:txPr>
          <a:bodyPr/>
          <a:lstStyle/>
          <a:p>
            <a:pPr>
              <a:defRPr lang="en-US" sz="800"/>
            </a:pPr>
            <a:endParaRPr lang="zh-CN"/>
          </a:p>
        </c:txPr>
        <c:crossAx val="231109760"/>
        <c:crosses val="autoZero"/>
        <c:crossBetween val="between"/>
      </c:valAx>
      <c:valAx>
        <c:axId val="231121280"/>
        <c:scaling>
          <c:orientation val="minMax"/>
        </c:scaling>
        <c:axPos val="r"/>
        <c:numFmt formatCode="###,###,###,###,##0" sourceLinked="0"/>
        <c:tickLblPos val="nextTo"/>
        <c:txPr>
          <a:bodyPr/>
          <a:lstStyle/>
          <a:p>
            <a:pPr>
              <a:defRPr lang="en-US" sz="800"/>
            </a:pPr>
            <a:endParaRPr lang="zh-CN"/>
          </a:p>
        </c:txPr>
        <c:crossAx val="231122816"/>
        <c:crosses val="max"/>
        <c:crossBetween val="between"/>
      </c:valAx>
      <c:dateAx>
        <c:axId val="231122816"/>
        <c:scaling>
          <c:orientation val="minMax"/>
        </c:scaling>
        <c:delete val="1"/>
        <c:axPos val="b"/>
        <c:numFmt formatCode="yyyy\-mm;@" sourceLinked="1"/>
        <c:tickLblPos val="none"/>
        <c:crossAx val="231121280"/>
        <c:crosses val="autoZero"/>
        <c:auto val="1"/>
        <c:lblOffset val="100"/>
      </c:dateAx>
    </c:plotArea>
    <c:legend>
      <c:legendPos val="t"/>
      <c:layout>
        <c:manualLayout>
          <c:xMode val="edge"/>
          <c:yMode val="edge"/>
          <c:x val="0"/>
          <c:y val="2.0377182581907249E-3"/>
          <c:w val="0.99847792998477858"/>
          <c:h val="8.8366447984624619E-2"/>
        </c:manualLayout>
      </c:layout>
      <c:txPr>
        <a:bodyPr/>
        <a:lstStyle/>
        <a:p>
          <a:pPr>
            <a:defRPr lang="en-US" sz="800"/>
          </a:pPr>
          <a:endParaRPr lang="zh-CN"/>
        </a:p>
      </c:tx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514129483814523"/>
          <c:y val="0.11514955558091472"/>
          <c:w val="0.8498587051618548"/>
          <c:h val="0.67472651742807677"/>
        </c:manualLayout>
      </c:layout>
      <c:barChart>
        <c:barDir val="col"/>
        <c:grouping val="clustered"/>
        <c:ser>
          <c:idx val="4"/>
          <c:order val="0"/>
          <c:tx>
            <c:strRef>
              <c:f>工业品产量!$T$2</c:f>
              <c:strCache>
                <c:ptCount val="1"/>
                <c:pt idx="0">
                  <c:v>洗衣机当月产量（万台）</c:v>
                </c:pt>
              </c:strCache>
            </c:strRef>
          </c:tx>
          <c:spPr>
            <a:solidFill>
              <a:schemeClr val="accent1"/>
            </a:solidFill>
            <a:ln>
              <a:solidFill>
                <a:schemeClr val="accent1"/>
              </a:solidFill>
            </a:ln>
          </c:spPr>
          <c:cat>
            <c:numRef>
              <c:f>工业品产量!$H$12:$H$63</c:f>
              <c:numCache>
                <c:formatCode>yyyy\-mm;@</c:formatCode>
                <c:ptCount val="52"/>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numCache>
            </c:numRef>
          </c:cat>
          <c:val>
            <c:numRef>
              <c:f>工业品产量!$T$12:$T$63</c:f>
              <c:numCache>
                <c:formatCode>###,###,###,###,##0.00</c:formatCode>
                <c:ptCount val="52"/>
                <c:pt idx="0">
                  <c:v>595.08630000000005</c:v>
                </c:pt>
                <c:pt idx="1">
                  <c:v>629.79999999999995</c:v>
                </c:pt>
                <c:pt idx="2">
                  <c:v>0</c:v>
                </c:pt>
                <c:pt idx="3">
                  <c:v>680.31819999999948</c:v>
                </c:pt>
                <c:pt idx="4">
                  <c:v>708.09370000000069</c:v>
                </c:pt>
                <c:pt idx="5">
                  <c:v>633.96149999999932</c:v>
                </c:pt>
                <c:pt idx="6">
                  <c:v>697.22329999999999</c:v>
                </c:pt>
                <c:pt idx="7">
                  <c:v>629.45669999999916</c:v>
                </c:pt>
                <c:pt idx="8">
                  <c:v>531.08630000000005</c:v>
                </c:pt>
                <c:pt idx="9">
                  <c:v>559.06049999999948</c:v>
                </c:pt>
                <c:pt idx="10">
                  <c:v>567.14649999999949</c:v>
                </c:pt>
                <c:pt idx="11">
                  <c:v>584.1</c:v>
                </c:pt>
                <c:pt idx="12">
                  <c:v>653.1</c:v>
                </c:pt>
                <c:pt idx="13">
                  <c:v>374.7</c:v>
                </c:pt>
                <c:pt idx="14">
                  <c:v>594.9</c:v>
                </c:pt>
                <c:pt idx="15">
                  <c:v>622.20000000000005</c:v>
                </c:pt>
                <c:pt idx="16">
                  <c:v>624.4</c:v>
                </c:pt>
                <c:pt idx="17">
                  <c:v>615.79999999999995</c:v>
                </c:pt>
                <c:pt idx="18">
                  <c:v>741.8</c:v>
                </c:pt>
                <c:pt idx="19">
                  <c:v>549.29999999999995</c:v>
                </c:pt>
                <c:pt idx="20">
                  <c:v>512.20000000000005</c:v>
                </c:pt>
                <c:pt idx="21">
                  <c:v>491.3</c:v>
                </c:pt>
                <c:pt idx="22">
                  <c:v>497.9</c:v>
                </c:pt>
                <c:pt idx="23">
                  <c:v>555.1</c:v>
                </c:pt>
                <c:pt idx="24">
                  <c:v>580.9</c:v>
                </c:pt>
                <c:pt idx="25">
                  <c:v>513.13610000000006</c:v>
                </c:pt>
                <c:pt idx="26">
                  <c:v>403.03980000000001</c:v>
                </c:pt>
                <c:pt idx="27">
                  <c:v>619.9</c:v>
                </c:pt>
                <c:pt idx="28">
                  <c:v>578.9</c:v>
                </c:pt>
                <c:pt idx="29">
                  <c:v>658.7</c:v>
                </c:pt>
                <c:pt idx="30">
                  <c:v>657.1</c:v>
                </c:pt>
                <c:pt idx="31">
                  <c:v>559.70000000000005</c:v>
                </c:pt>
                <c:pt idx="32">
                  <c:v>473.6</c:v>
                </c:pt>
                <c:pt idx="33">
                  <c:v>485.7</c:v>
                </c:pt>
                <c:pt idx="34">
                  <c:v>517.5</c:v>
                </c:pt>
                <c:pt idx="35">
                  <c:v>590.20000000000005</c:v>
                </c:pt>
                <c:pt idx="36">
                  <c:v>568.4</c:v>
                </c:pt>
                <c:pt idx="37">
                  <c:v>407.1</c:v>
                </c:pt>
                <c:pt idx="38">
                  <c:v>565.10130000000004</c:v>
                </c:pt>
                <c:pt idx="39">
                  <c:v>655.4</c:v>
                </c:pt>
                <c:pt idx="40">
                  <c:v>663.2</c:v>
                </c:pt>
                <c:pt idx="41">
                  <c:v>616.79999999999995</c:v>
                </c:pt>
                <c:pt idx="42">
                  <c:v>600.9</c:v>
                </c:pt>
                <c:pt idx="43">
                  <c:v>522.79999999999995</c:v>
                </c:pt>
                <c:pt idx="44">
                  <c:v>430.4</c:v>
                </c:pt>
                <c:pt idx="45">
                  <c:v>391</c:v>
                </c:pt>
                <c:pt idx="46">
                  <c:v>424.1</c:v>
                </c:pt>
                <c:pt idx="47">
                  <c:v>468.9</c:v>
                </c:pt>
                <c:pt idx="48">
                  <c:v>492</c:v>
                </c:pt>
                <c:pt idx="49">
                  <c:v>403</c:v>
                </c:pt>
                <c:pt idx="50">
                  <c:v>541.51089999999999</c:v>
                </c:pt>
                <c:pt idx="51">
                  <c:v>587.65</c:v>
                </c:pt>
              </c:numCache>
            </c:numRef>
          </c:val>
        </c:ser>
        <c:axId val="231161856"/>
        <c:axId val="231160064"/>
      </c:barChart>
      <c:lineChart>
        <c:grouping val="standard"/>
        <c:ser>
          <c:idx val="5"/>
          <c:order val="1"/>
          <c:tx>
            <c:strRef>
              <c:f>工业品产量!$U$2</c:f>
              <c:strCache>
                <c:ptCount val="1"/>
                <c:pt idx="0">
                  <c:v>洗衣机当月产量同比（左轴）</c:v>
                </c:pt>
              </c:strCache>
            </c:strRef>
          </c:tx>
          <c:spPr>
            <a:ln>
              <a:solidFill>
                <a:srgbClr val="C00000"/>
              </a:solidFill>
            </a:ln>
          </c:spPr>
          <c:marker>
            <c:symbol val="none"/>
          </c:marker>
          <c:cat>
            <c:numRef>
              <c:f>工业品产量!$H$12:$H$65</c:f>
              <c:numCache>
                <c:formatCode>yyyy\-mm;@</c:formatCode>
                <c:ptCount val="54"/>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pt idx="52">
                  <c:v>40147</c:v>
                </c:pt>
                <c:pt idx="53">
                  <c:v>40117</c:v>
                </c:pt>
              </c:numCache>
            </c:numRef>
          </c:cat>
          <c:val>
            <c:numRef>
              <c:f>工业品产量!$U$12:$U$63</c:f>
              <c:numCache>
                <c:formatCode>###,###,###,###,##0.00</c:formatCode>
                <c:ptCount val="52"/>
                <c:pt idx="0">
                  <c:v>1.1356999999999988</c:v>
                </c:pt>
                <c:pt idx="1">
                  <c:v>-3</c:v>
                </c:pt>
                <c:pt idx="2">
                  <c:v>0</c:v>
                </c:pt>
                <c:pt idx="3">
                  <c:v>9.4130000000000003</c:v>
                </c:pt>
                <c:pt idx="4">
                  <c:v>9.4824000000000108</c:v>
                </c:pt>
                <c:pt idx="5">
                  <c:v>3.0321999999999987</c:v>
                </c:pt>
                <c:pt idx="6">
                  <c:v>8.7612999999999985</c:v>
                </c:pt>
                <c:pt idx="7">
                  <c:v>15.2296</c:v>
                </c:pt>
                <c:pt idx="8">
                  <c:v>4.0861999999999998</c:v>
                </c:pt>
                <c:pt idx="9">
                  <c:v>15.2156</c:v>
                </c:pt>
                <c:pt idx="10">
                  <c:v>3.4461999999999997</c:v>
                </c:pt>
                <c:pt idx="11">
                  <c:v>5.6</c:v>
                </c:pt>
                <c:pt idx="12">
                  <c:v>14.5</c:v>
                </c:pt>
                <c:pt idx="13">
                  <c:v>-26.2</c:v>
                </c:pt>
                <c:pt idx="14">
                  <c:v>49</c:v>
                </c:pt>
                <c:pt idx="15">
                  <c:v>-1.2</c:v>
                </c:pt>
                <c:pt idx="16">
                  <c:v>5.7</c:v>
                </c:pt>
                <c:pt idx="17">
                  <c:v>-0.2</c:v>
                </c:pt>
                <c:pt idx="18">
                  <c:v>25.4</c:v>
                </c:pt>
                <c:pt idx="19">
                  <c:v>-5.9</c:v>
                </c:pt>
                <c:pt idx="20">
                  <c:v>6.8</c:v>
                </c:pt>
                <c:pt idx="21">
                  <c:v>3.9</c:v>
                </c:pt>
                <c:pt idx="22">
                  <c:v>2.6</c:v>
                </c:pt>
                <c:pt idx="23">
                  <c:v>-6.3</c:v>
                </c:pt>
                <c:pt idx="24">
                  <c:v>-1.4</c:v>
                </c:pt>
                <c:pt idx="25">
                  <c:v>22.4711</c:v>
                </c:pt>
                <c:pt idx="26">
                  <c:v>-26.941999999999986</c:v>
                </c:pt>
                <c:pt idx="27">
                  <c:v>-1.9000000000000001</c:v>
                </c:pt>
                <c:pt idx="28">
                  <c:v>-9.3000000000000007</c:v>
                </c:pt>
                <c:pt idx="29">
                  <c:v>10.4</c:v>
                </c:pt>
                <c:pt idx="30">
                  <c:v>12.8</c:v>
                </c:pt>
                <c:pt idx="31">
                  <c:v>11.7</c:v>
                </c:pt>
                <c:pt idx="32">
                  <c:v>14.8</c:v>
                </c:pt>
                <c:pt idx="33">
                  <c:v>31.9</c:v>
                </c:pt>
                <c:pt idx="34">
                  <c:v>27.3</c:v>
                </c:pt>
                <c:pt idx="35">
                  <c:v>31.9</c:v>
                </c:pt>
                <c:pt idx="36">
                  <c:v>22.3</c:v>
                </c:pt>
                <c:pt idx="37">
                  <c:v>3.3</c:v>
                </c:pt>
                <c:pt idx="38">
                  <c:v>9.0598000000000027</c:v>
                </c:pt>
                <c:pt idx="39">
                  <c:v>12.3</c:v>
                </c:pt>
                <c:pt idx="40">
                  <c:v>23.7</c:v>
                </c:pt>
                <c:pt idx="41">
                  <c:v>15.2</c:v>
                </c:pt>
                <c:pt idx="42">
                  <c:v>12.6</c:v>
                </c:pt>
                <c:pt idx="43">
                  <c:v>26.5</c:v>
                </c:pt>
                <c:pt idx="44">
                  <c:v>45.4</c:v>
                </c:pt>
                <c:pt idx="45">
                  <c:v>24.1</c:v>
                </c:pt>
                <c:pt idx="46">
                  <c:v>30.9</c:v>
                </c:pt>
                <c:pt idx="47">
                  <c:v>34.4</c:v>
                </c:pt>
                <c:pt idx="48">
                  <c:v>28.7</c:v>
                </c:pt>
                <c:pt idx="49">
                  <c:v>22.7</c:v>
                </c:pt>
                <c:pt idx="50">
                  <c:v>73.701499999999996</c:v>
                </c:pt>
                <c:pt idx="51">
                  <c:v>11.7</c:v>
                </c:pt>
              </c:numCache>
            </c:numRef>
          </c:val>
        </c:ser>
        <c:marker val="1"/>
        <c:axId val="231140352"/>
        <c:axId val="231158528"/>
      </c:lineChart>
      <c:dateAx>
        <c:axId val="231140352"/>
        <c:scaling>
          <c:orientation val="minMax"/>
        </c:scaling>
        <c:axPos val="b"/>
        <c:numFmt formatCode="yyyy\-mm;@" sourceLinked="1"/>
        <c:tickLblPos val="low"/>
        <c:txPr>
          <a:bodyPr/>
          <a:lstStyle/>
          <a:p>
            <a:pPr>
              <a:defRPr lang="en-US" sz="800"/>
            </a:pPr>
            <a:endParaRPr lang="zh-CN"/>
          </a:p>
        </c:txPr>
        <c:crossAx val="231158528"/>
        <c:crosses val="autoZero"/>
        <c:auto val="1"/>
        <c:lblOffset val="100"/>
      </c:dateAx>
      <c:valAx>
        <c:axId val="231158528"/>
        <c:scaling>
          <c:orientation val="minMax"/>
        </c:scaling>
        <c:axPos val="l"/>
        <c:majorGridlines/>
        <c:numFmt formatCode="###,###,###,###,##0" sourceLinked="0"/>
        <c:tickLblPos val="nextTo"/>
        <c:txPr>
          <a:bodyPr/>
          <a:lstStyle/>
          <a:p>
            <a:pPr>
              <a:defRPr lang="en-US" sz="800"/>
            </a:pPr>
            <a:endParaRPr lang="zh-CN"/>
          </a:p>
        </c:txPr>
        <c:crossAx val="231140352"/>
        <c:crosses val="autoZero"/>
        <c:crossBetween val="between"/>
      </c:valAx>
      <c:valAx>
        <c:axId val="231160064"/>
        <c:scaling>
          <c:orientation val="minMax"/>
        </c:scaling>
        <c:axPos val="r"/>
        <c:numFmt formatCode="###,###,###,###,##0" sourceLinked="0"/>
        <c:tickLblPos val="nextTo"/>
        <c:txPr>
          <a:bodyPr/>
          <a:lstStyle/>
          <a:p>
            <a:pPr>
              <a:defRPr lang="en-US" sz="800"/>
            </a:pPr>
            <a:endParaRPr lang="zh-CN"/>
          </a:p>
        </c:txPr>
        <c:crossAx val="231161856"/>
        <c:crosses val="max"/>
        <c:crossBetween val="between"/>
      </c:valAx>
      <c:dateAx>
        <c:axId val="231161856"/>
        <c:scaling>
          <c:orientation val="minMax"/>
        </c:scaling>
        <c:delete val="1"/>
        <c:axPos val="b"/>
        <c:numFmt formatCode="yyyy\-mm;@" sourceLinked="1"/>
        <c:tickLblPos val="none"/>
        <c:crossAx val="231160064"/>
        <c:crosses val="autoZero"/>
        <c:auto val="1"/>
        <c:lblOffset val="100"/>
      </c:dateAx>
    </c:plotArea>
    <c:legend>
      <c:legendPos val="t"/>
      <c:layout>
        <c:manualLayout>
          <c:xMode val="edge"/>
          <c:yMode val="edge"/>
          <c:x val="5.0000053894700532E-2"/>
          <c:y val="0"/>
          <c:w val="0.89999989221060872"/>
          <c:h val="0.11614410970367843"/>
        </c:manualLayout>
      </c:layout>
      <c:spPr>
        <a:ln>
          <a:noFill/>
        </a:ln>
      </c:spPr>
      <c:txPr>
        <a:bodyPr/>
        <a:lstStyle/>
        <a:p>
          <a:pPr>
            <a:defRPr lang="en-US" sz="800"/>
          </a:pPr>
          <a:endParaRPr lang="zh-CN"/>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1158003411822563E-2"/>
          <c:y val="0.16242089530475357"/>
          <c:w val="0.86888964198743668"/>
          <c:h val="0.79128280839894949"/>
        </c:manualLayout>
      </c:layout>
      <c:lineChart>
        <c:grouping val="standard"/>
        <c:ser>
          <c:idx val="0"/>
          <c:order val="0"/>
          <c:tx>
            <c:v>铅：供需平衡累计值（WBMS)</c:v>
          </c:tx>
          <c:marker>
            <c:symbol val="none"/>
          </c:marker>
          <c:cat>
            <c:numRef>
              <c:f>WBMS!$A$5:$A$51</c:f>
              <c:numCache>
                <c:formatCode>yyyy\-mm;@</c:formatCode>
                <c:ptCount val="47"/>
                <c:pt idx="0">
                  <c:v>41729</c:v>
                </c:pt>
                <c:pt idx="1">
                  <c:v>41698</c:v>
                </c:pt>
                <c:pt idx="2">
                  <c:v>41639</c:v>
                </c:pt>
                <c:pt idx="3">
                  <c:v>41608</c:v>
                </c:pt>
                <c:pt idx="4">
                  <c:v>41578</c:v>
                </c:pt>
                <c:pt idx="5">
                  <c:v>41547</c:v>
                </c:pt>
                <c:pt idx="6">
                  <c:v>41517</c:v>
                </c:pt>
                <c:pt idx="7">
                  <c:v>41425</c:v>
                </c:pt>
                <c:pt idx="8">
                  <c:v>41394</c:v>
                </c:pt>
                <c:pt idx="9">
                  <c:v>41364</c:v>
                </c:pt>
                <c:pt idx="10">
                  <c:v>41333</c:v>
                </c:pt>
                <c:pt idx="11">
                  <c:v>41305</c:v>
                </c:pt>
                <c:pt idx="12">
                  <c:v>41274</c:v>
                </c:pt>
                <c:pt idx="13">
                  <c:v>41243</c:v>
                </c:pt>
                <c:pt idx="14">
                  <c:v>41213</c:v>
                </c:pt>
                <c:pt idx="15">
                  <c:v>41182</c:v>
                </c:pt>
                <c:pt idx="16">
                  <c:v>41152</c:v>
                </c:pt>
                <c:pt idx="17">
                  <c:v>41121</c:v>
                </c:pt>
                <c:pt idx="18">
                  <c:v>41090</c:v>
                </c:pt>
                <c:pt idx="19">
                  <c:v>41060</c:v>
                </c:pt>
                <c:pt idx="20">
                  <c:v>41029</c:v>
                </c:pt>
                <c:pt idx="21">
                  <c:v>40999</c:v>
                </c:pt>
                <c:pt idx="22">
                  <c:v>40968</c:v>
                </c:pt>
                <c:pt idx="23">
                  <c:v>40908</c:v>
                </c:pt>
                <c:pt idx="24">
                  <c:v>40877</c:v>
                </c:pt>
                <c:pt idx="25">
                  <c:v>40847</c:v>
                </c:pt>
                <c:pt idx="26">
                  <c:v>40816</c:v>
                </c:pt>
                <c:pt idx="27">
                  <c:v>40786</c:v>
                </c:pt>
                <c:pt idx="28">
                  <c:v>40755</c:v>
                </c:pt>
                <c:pt idx="29">
                  <c:v>40724</c:v>
                </c:pt>
                <c:pt idx="30">
                  <c:v>40694</c:v>
                </c:pt>
                <c:pt idx="31">
                  <c:v>40663</c:v>
                </c:pt>
                <c:pt idx="32">
                  <c:v>40633</c:v>
                </c:pt>
                <c:pt idx="33">
                  <c:v>40602</c:v>
                </c:pt>
                <c:pt idx="34">
                  <c:v>40543</c:v>
                </c:pt>
                <c:pt idx="35">
                  <c:v>40512</c:v>
                </c:pt>
                <c:pt idx="36">
                  <c:v>40482</c:v>
                </c:pt>
                <c:pt idx="37">
                  <c:v>40451</c:v>
                </c:pt>
                <c:pt idx="38">
                  <c:v>40421</c:v>
                </c:pt>
                <c:pt idx="39">
                  <c:v>40390</c:v>
                </c:pt>
                <c:pt idx="40">
                  <c:v>40359</c:v>
                </c:pt>
                <c:pt idx="41">
                  <c:v>40329</c:v>
                </c:pt>
                <c:pt idx="42">
                  <c:v>40298</c:v>
                </c:pt>
                <c:pt idx="43">
                  <c:v>40268</c:v>
                </c:pt>
                <c:pt idx="44">
                  <c:v>40237</c:v>
                </c:pt>
                <c:pt idx="45">
                  <c:v>40209</c:v>
                </c:pt>
                <c:pt idx="46">
                  <c:v>40178</c:v>
                </c:pt>
              </c:numCache>
            </c:numRef>
          </c:cat>
          <c:val>
            <c:numRef>
              <c:f>WBMS!$C$5:$C$51</c:f>
              <c:numCache>
                <c:formatCode>###,###,###,###,##0.00</c:formatCode>
                <c:ptCount val="47"/>
                <c:pt idx="0">
                  <c:v>-4.5</c:v>
                </c:pt>
                <c:pt idx="1">
                  <c:v>-4.5999999999999996</c:v>
                </c:pt>
                <c:pt idx="2">
                  <c:v>-16.399999999999999</c:v>
                </c:pt>
                <c:pt idx="3">
                  <c:v>-27.6</c:v>
                </c:pt>
                <c:pt idx="4">
                  <c:v>-25</c:v>
                </c:pt>
                <c:pt idx="5">
                  <c:v>-25.6</c:v>
                </c:pt>
                <c:pt idx="6">
                  <c:v>-24.8</c:v>
                </c:pt>
                <c:pt idx="7">
                  <c:v>-17.41</c:v>
                </c:pt>
                <c:pt idx="8">
                  <c:v>-18.34</c:v>
                </c:pt>
                <c:pt idx="9">
                  <c:v>-14.57</c:v>
                </c:pt>
                <c:pt idx="10">
                  <c:v>-7.29</c:v>
                </c:pt>
                <c:pt idx="11">
                  <c:v>-4.2699999999999996</c:v>
                </c:pt>
                <c:pt idx="12">
                  <c:v>6.53</c:v>
                </c:pt>
                <c:pt idx="13">
                  <c:v>0.55000000000000004</c:v>
                </c:pt>
                <c:pt idx="14">
                  <c:v>2.38</c:v>
                </c:pt>
                <c:pt idx="15">
                  <c:v>1.1000000000000001</c:v>
                </c:pt>
                <c:pt idx="16">
                  <c:v>1.72</c:v>
                </c:pt>
                <c:pt idx="17">
                  <c:v>0.66000000000000081</c:v>
                </c:pt>
                <c:pt idx="18">
                  <c:v>4.08</c:v>
                </c:pt>
                <c:pt idx="19">
                  <c:v>5.9700000000000024</c:v>
                </c:pt>
                <c:pt idx="20">
                  <c:v>4.03</c:v>
                </c:pt>
                <c:pt idx="21">
                  <c:v>1.0900000000000001</c:v>
                </c:pt>
                <c:pt idx="22">
                  <c:v>-1.01</c:v>
                </c:pt>
                <c:pt idx="23">
                  <c:v>2.44</c:v>
                </c:pt>
                <c:pt idx="24">
                  <c:v>4.0199999999999996</c:v>
                </c:pt>
                <c:pt idx="25">
                  <c:v>5.41</c:v>
                </c:pt>
                <c:pt idx="26">
                  <c:v>4.7300000000000004</c:v>
                </c:pt>
                <c:pt idx="27">
                  <c:v>4.8599999999999985</c:v>
                </c:pt>
                <c:pt idx="28">
                  <c:v>1.21</c:v>
                </c:pt>
                <c:pt idx="29">
                  <c:v>1.41</c:v>
                </c:pt>
                <c:pt idx="30">
                  <c:v>9.6399999999999988</c:v>
                </c:pt>
                <c:pt idx="31">
                  <c:v>6.76</c:v>
                </c:pt>
                <c:pt idx="32">
                  <c:v>6.59</c:v>
                </c:pt>
                <c:pt idx="33">
                  <c:v>3.3899999999999997</c:v>
                </c:pt>
                <c:pt idx="34">
                  <c:v>3.16</c:v>
                </c:pt>
                <c:pt idx="35">
                  <c:v>3.29</c:v>
                </c:pt>
                <c:pt idx="36">
                  <c:v>8.0000000000000043E-2</c:v>
                </c:pt>
                <c:pt idx="37">
                  <c:v>1.07</c:v>
                </c:pt>
                <c:pt idx="38">
                  <c:v>3.3899999999999997</c:v>
                </c:pt>
                <c:pt idx="39">
                  <c:v>5.37</c:v>
                </c:pt>
                <c:pt idx="40">
                  <c:v>1.8</c:v>
                </c:pt>
                <c:pt idx="41">
                  <c:v>6.23</c:v>
                </c:pt>
                <c:pt idx="42">
                  <c:v>4.92</c:v>
                </c:pt>
                <c:pt idx="43">
                  <c:v>3.7600000000000002</c:v>
                </c:pt>
                <c:pt idx="44">
                  <c:v>1</c:v>
                </c:pt>
                <c:pt idx="45">
                  <c:v>-0.5</c:v>
                </c:pt>
                <c:pt idx="46">
                  <c:v>4.2</c:v>
                </c:pt>
              </c:numCache>
            </c:numRef>
          </c:val>
        </c:ser>
        <c:marker val="1"/>
        <c:axId val="231178240"/>
        <c:axId val="231179776"/>
      </c:lineChart>
      <c:dateAx>
        <c:axId val="231178240"/>
        <c:scaling>
          <c:orientation val="minMax"/>
        </c:scaling>
        <c:axPos val="b"/>
        <c:numFmt formatCode="yyyy\-mm;@" sourceLinked="1"/>
        <c:tickLblPos val="nextTo"/>
        <c:txPr>
          <a:bodyPr/>
          <a:lstStyle/>
          <a:p>
            <a:pPr>
              <a:defRPr sz="800" baseline="0"/>
            </a:pPr>
            <a:endParaRPr lang="zh-CN"/>
          </a:p>
        </c:txPr>
        <c:crossAx val="231179776"/>
        <c:crosses val="autoZero"/>
        <c:auto val="1"/>
        <c:lblOffset val="100"/>
      </c:dateAx>
      <c:valAx>
        <c:axId val="231179776"/>
        <c:scaling>
          <c:orientation val="minMax"/>
        </c:scaling>
        <c:axPos val="l"/>
        <c:majorGridlines/>
        <c:numFmt formatCode="General" sourceLinked="0"/>
        <c:tickLblPos val="nextTo"/>
        <c:txPr>
          <a:bodyPr/>
          <a:lstStyle/>
          <a:p>
            <a:pPr>
              <a:defRPr sz="800" baseline="0"/>
            </a:pPr>
            <a:endParaRPr lang="zh-CN"/>
          </a:p>
        </c:txPr>
        <c:crossAx val="231178240"/>
        <c:crosses val="autoZero"/>
        <c:crossBetween val="between"/>
      </c:valAx>
    </c:plotArea>
    <c:legend>
      <c:legendPos val="t"/>
      <c:layout>
        <c:manualLayout>
          <c:xMode val="edge"/>
          <c:yMode val="edge"/>
          <c:x val="0.16328873369339147"/>
          <c:y val="0"/>
          <c:w val="0.67342224662643191"/>
          <c:h val="0.11149496937882765"/>
        </c:manualLayout>
      </c:layout>
    </c:legend>
    <c:plotVisOnly val="1"/>
  </c:chart>
  <c:spPr>
    <a:ln>
      <a:noFill/>
    </a:ln>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0258453643757592"/>
          <c:y val="0.15559794898309817"/>
          <c:w val="0.80549654394873427"/>
          <c:h val="0.63853857099860112"/>
        </c:manualLayout>
      </c:layout>
      <c:barChart>
        <c:barDir val="col"/>
        <c:grouping val="clustered"/>
        <c:ser>
          <c:idx val="3"/>
          <c:order val="3"/>
          <c:tx>
            <c:strRef>
              <c:f>ILZSG全球铅锌供需!$K$2</c:f>
              <c:strCache>
                <c:ptCount val="1"/>
                <c:pt idx="0">
                  <c:v>ILZSG:全球精炼铅过剩/缺口:当月值</c:v>
                </c:pt>
              </c:strCache>
            </c:strRef>
          </c:tx>
          <c:cat>
            <c:numRef>
              <c:f>ILZSG全球铅锌供需!$G$4:$G$46</c:f>
              <c:numCache>
                <c:formatCode>yyyy\-mm;@</c:formatCode>
                <c:ptCount val="43"/>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numCache>
            </c:numRef>
          </c:cat>
          <c:val>
            <c:numRef>
              <c:f>ILZSG全球铅锌供需!$K$4:$K$46</c:f>
              <c:numCache>
                <c:formatCode>###,###,###,###,##0.00</c:formatCode>
                <c:ptCount val="43"/>
                <c:pt idx="0">
                  <c:v>-0.9</c:v>
                </c:pt>
                <c:pt idx="1">
                  <c:v>21.7</c:v>
                </c:pt>
                <c:pt idx="2">
                  <c:v>-30.7</c:v>
                </c:pt>
                <c:pt idx="3">
                  <c:v>22.2</c:v>
                </c:pt>
                <c:pt idx="4">
                  <c:v>9.3000000000000007</c:v>
                </c:pt>
                <c:pt idx="5">
                  <c:v>9.1</c:v>
                </c:pt>
                <c:pt idx="6">
                  <c:v>-11</c:v>
                </c:pt>
                <c:pt idx="7">
                  <c:v>14.4</c:v>
                </c:pt>
                <c:pt idx="8">
                  <c:v>-33.5</c:v>
                </c:pt>
                <c:pt idx="9">
                  <c:v>-7.8</c:v>
                </c:pt>
                <c:pt idx="10">
                  <c:v>-1.2</c:v>
                </c:pt>
                <c:pt idx="11">
                  <c:v>-18.2</c:v>
                </c:pt>
                <c:pt idx="12">
                  <c:v>-22.6</c:v>
                </c:pt>
                <c:pt idx="13">
                  <c:v>-8</c:v>
                </c:pt>
                <c:pt idx="14">
                  <c:v>15.7</c:v>
                </c:pt>
                <c:pt idx="15">
                  <c:v>-14.6</c:v>
                </c:pt>
                <c:pt idx="16">
                  <c:v>-3.6</c:v>
                </c:pt>
                <c:pt idx="17">
                  <c:v>6.7</c:v>
                </c:pt>
                <c:pt idx="18">
                  <c:v>10.8</c:v>
                </c:pt>
                <c:pt idx="19">
                  <c:v>-10.6</c:v>
                </c:pt>
                <c:pt idx="20">
                  <c:v>-0.5</c:v>
                </c:pt>
                <c:pt idx="21">
                  <c:v>16.600000000000001</c:v>
                </c:pt>
                <c:pt idx="22">
                  <c:v>13.7</c:v>
                </c:pt>
                <c:pt idx="23">
                  <c:v>22.4</c:v>
                </c:pt>
                <c:pt idx="24">
                  <c:v>-13.4</c:v>
                </c:pt>
                <c:pt idx="25">
                  <c:v>6.3</c:v>
                </c:pt>
                <c:pt idx="26">
                  <c:v>14.7</c:v>
                </c:pt>
                <c:pt idx="27">
                  <c:v>-9.5</c:v>
                </c:pt>
                <c:pt idx="28">
                  <c:v>8.9</c:v>
                </c:pt>
                <c:pt idx="29">
                  <c:v>2.1</c:v>
                </c:pt>
                <c:pt idx="30">
                  <c:v>-1.2</c:v>
                </c:pt>
                <c:pt idx="31">
                  <c:v>-7.2</c:v>
                </c:pt>
                <c:pt idx="32">
                  <c:v>30</c:v>
                </c:pt>
                <c:pt idx="33">
                  <c:v>17.8</c:v>
                </c:pt>
                <c:pt idx="34">
                  <c:v>15.6</c:v>
                </c:pt>
                <c:pt idx="35">
                  <c:v>54</c:v>
                </c:pt>
                <c:pt idx="36">
                  <c:v>0.60000000000000053</c:v>
                </c:pt>
                <c:pt idx="37">
                  <c:v>9.9</c:v>
                </c:pt>
                <c:pt idx="38">
                  <c:v>4.7</c:v>
                </c:pt>
                <c:pt idx="39">
                  <c:v>-16.2</c:v>
                </c:pt>
                <c:pt idx="40">
                  <c:v>-7.7</c:v>
                </c:pt>
                <c:pt idx="41">
                  <c:v>4.5</c:v>
                </c:pt>
                <c:pt idx="42">
                  <c:v>3.4</c:v>
                </c:pt>
              </c:numCache>
            </c:numRef>
          </c:val>
        </c:ser>
        <c:axId val="231297408"/>
        <c:axId val="231295616"/>
      </c:barChart>
      <c:lineChart>
        <c:grouping val="standard"/>
        <c:ser>
          <c:idx val="0"/>
          <c:order val="0"/>
          <c:tx>
            <c:strRef>
              <c:f>ILZSG全球铅锌供需!$H$2</c:f>
              <c:strCache>
                <c:ptCount val="1"/>
                <c:pt idx="0">
                  <c:v>ILZSG:全球铅矿产量:当月值</c:v>
                </c:pt>
              </c:strCache>
            </c:strRef>
          </c:tx>
          <c:marker>
            <c:symbol val="none"/>
          </c:marker>
          <c:cat>
            <c:numRef>
              <c:f>ILZSG全球铅锌供需!$G$4:$G$46</c:f>
              <c:numCache>
                <c:formatCode>yyyy\-mm;@</c:formatCode>
                <c:ptCount val="43"/>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numCache>
            </c:numRef>
          </c:cat>
          <c:val>
            <c:numRef>
              <c:f>ILZSG全球铅锌供需!$H$4:$H$46</c:f>
              <c:numCache>
                <c:formatCode>###,###,###,###,##0.00</c:formatCode>
                <c:ptCount val="43"/>
                <c:pt idx="0">
                  <c:v>450</c:v>
                </c:pt>
                <c:pt idx="1">
                  <c:v>339.4</c:v>
                </c:pt>
                <c:pt idx="2">
                  <c:v>371.8</c:v>
                </c:pt>
                <c:pt idx="3">
                  <c:v>454.9</c:v>
                </c:pt>
                <c:pt idx="4">
                  <c:v>514.5</c:v>
                </c:pt>
                <c:pt idx="5">
                  <c:v>461.8</c:v>
                </c:pt>
                <c:pt idx="6">
                  <c:v>488.5</c:v>
                </c:pt>
                <c:pt idx="7">
                  <c:v>450</c:v>
                </c:pt>
                <c:pt idx="8">
                  <c:v>436.6</c:v>
                </c:pt>
                <c:pt idx="9">
                  <c:v>515.9</c:v>
                </c:pt>
                <c:pt idx="10">
                  <c:v>483.3</c:v>
                </c:pt>
                <c:pt idx="11">
                  <c:v>475.6</c:v>
                </c:pt>
                <c:pt idx="12">
                  <c:v>453.6</c:v>
                </c:pt>
                <c:pt idx="13">
                  <c:v>342.6</c:v>
                </c:pt>
                <c:pt idx="14">
                  <c:v>355.9</c:v>
                </c:pt>
                <c:pt idx="15">
                  <c:v>442</c:v>
                </c:pt>
                <c:pt idx="16">
                  <c:v>437.7</c:v>
                </c:pt>
                <c:pt idx="17">
                  <c:v>442.9</c:v>
                </c:pt>
                <c:pt idx="18">
                  <c:v>451.9</c:v>
                </c:pt>
                <c:pt idx="19">
                  <c:v>471.6</c:v>
                </c:pt>
                <c:pt idx="20">
                  <c:v>451.9</c:v>
                </c:pt>
                <c:pt idx="21">
                  <c:v>516</c:v>
                </c:pt>
                <c:pt idx="22">
                  <c:v>471</c:v>
                </c:pt>
                <c:pt idx="23">
                  <c:v>441.4</c:v>
                </c:pt>
                <c:pt idx="24">
                  <c:v>460.6</c:v>
                </c:pt>
                <c:pt idx="25">
                  <c:v>370.9</c:v>
                </c:pt>
                <c:pt idx="26">
                  <c:v>364.1</c:v>
                </c:pt>
                <c:pt idx="27">
                  <c:v>456.2</c:v>
                </c:pt>
                <c:pt idx="28">
                  <c:v>431.7</c:v>
                </c:pt>
                <c:pt idx="29">
                  <c:v>424.7</c:v>
                </c:pt>
                <c:pt idx="30">
                  <c:v>416.2</c:v>
                </c:pt>
                <c:pt idx="31">
                  <c:v>391.4</c:v>
                </c:pt>
                <c:pt idx="32">
                  <c:v>384.4</c:v>
                </c:pt>
                <c:pt idx="33">
                  <c:v>403.1</c:v>
                </c:pt>
                <c:pt idx="34">
                  <c:v>405.4</c:v>
                </c:pt>
                <c:pt idx="35">
                  <c:v>366.8</c:v>
                </c:pt>
                <c:pt idx="36">
                  <c:v>361.5</c:v>
                </c:pt>
                <c:pt idx="37">
                  <c:v>290</c:v>
                </c:pt>
                <c:pt idx="38">
                  <c:v>312.60000000000002</c:v>
                </c:pt>
                <c:pt idx="39">
                  <c:v>389</c:v>
                </c:pt>
                <c:pt idx="40">
                  <c:v>368.9</c:v>
                </c:pt>
                <c:pt idx="41">
                  <c:v>358.1</c:v>
                </c:pt>
                <c:pt idx="42">
                  <c:v>347.7</c:v>
                </c:pt>
              </c:numCache>
            </c:numRef>
          </c:val>
        </c:ser>
        <c:ser>
          <c:idx val="1"/>
          <c:order val="1"/>
          <c:tx>
            <c:strRef>
              <c:f>ILZSG全球铅锌供需!$I$2</c:f>
              <c:strCache>
                <c:ptCount val="1"/>
                <c:pt idx="0">
                  <c:v>ILZSG:全球精炼铅产量:当月值</c:v>
                </c:pt>
              </c:strCache>
            </c:strRef>
          </c:tx>
          <c:marker>
            <c:symbol val="none"/>
          </c:marker>
          <c:cat>
            <c:numRef>
              <c:f>ILZSG全球铅锌供需!$G$4:$G$46</c:f>
              <c:numCache>
                <c:formatCode>yyyy\-mm;@</c:formatCode>
                <c:ptCount val="43"/>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numCache>
            </c:numRef>
          </c:cat>
          <c:val>
            <c:numRef>
              <c:f>ILZSG全球铅锌供需!$I$4:$I$46</c:f>
              <c:numCache>
                <c:formatCode>###,###,###,###,##0.00</c:formatCode>
                <c:ptCount val="43"/>
                <c:pt idx="0">
                  <c:v>901.2</c:v>
                </c:pt>
                <c:pt idx="1">
                  <c:v>870.3</c:v>
                </c:pt>
                <c:pt idx="2">
                  <c:v>849.4</c:v>
                </c:pt>
                <c:pt idx="3">
                  <c:v>901.9</c:v>
                </c:pt>
                <c:pt idx="4">
                  <c:v>965.9</c:v>
                </c:pt>
                <c:pt idx="5">
                  <c:v>994.7</c:v>
                </c:pt>
                <c:pt idx="6">
                  <c:v>888.4</c:v>
                </c:pt>
                <c:pt idx="7">
                  <c:v>895</c:v>
                </c:pt>
                <c:pt idx="8">
                  <c:v>892.4</c:v>
                </c:pt>
                <c:pt idx="9">
                  <c:v>903.9</c:v>
                </c:pt>
                <c:pt idx="10">
                  <c:v>886.6</c:v>
                </c:pt>
                <c:pt idx="11">
                  <c:v>881.2</c:v>
                </c:pt>
                <c:pt idx="12">
                  <c:v>917.3</c:v>
                </c:pt>
                <c:pt idx="13">
                  <c:v>831.7</c:v>
                </c:pt>
                <c:pt idx="14">
                  <c:v>826</c:v>
                </c:pt>
                <c:pt idx="15">
                  <c:v>918.4</c:v>
                </c:pt>
                <c:pt idx="16">
                  <c:v>924.3</c:v>
                </c:pt>
                <c:pt idx="17">
                  <c:v>934.2</c:v>
                </c:pt>
                <c:pt idx="18">
                  <c:v>917.1</c:v>
                </c:pt>
                <c:pt idx="19">
                  <c:v>931.5</c:v>
                </c:pt>
                <c:pt idx="20">
                  <c:v>902.1</c:v>
                </c:pt>
                <c:pt idx="21">
                  <c:v>947.1</c:v>
                </c:pt>
                <c:pt idx="22">
                  <c:v>905.8</c:v>
                </c:pt>
                <c:pt idx="23">
                  <c:v>889.6</c:v>
                </c:pt>
                <c:pt idx="24">
                  <c:v>858.2</c:v>
                </c:pt>
                <c:pt idx="25">
                  <c:v>801.3</c:v>
                </c:pt>
                <c:pt idx="26">
                  <c:v>770.8</c:v>
                </c:pt>
                <c:pt idx="27">
                  <c:v>932.1</c:v>
                </c:pt>
                <c:pt idx="28">
                  <c:v>892.9</c:v>
                </c:pt>
                <c:pt idx="29">
                  <c:v>871.6</c:v>
                </c:pt>
                <c:pt idx="30">
                  <c:v>886</c:v>
                </c:pt>
                <c:pt idx="31">
                  <c:v>845.2</c:v>
                </c:pt>
                <c:pt idx="32">
                  <c:v>842.5</c:v>
                </c:pt>
                <c:pt idx="33">
                  <c:v>876.5</c:v>
                </c:pt>
                <c:pt idx="34">
                  <c:v>802.1</c:v>
                </c:pt>
                <c:pt idx="35">
                  <c:v>857.3</c:v>
                </c:pt>
                <c:pt idx="36">
                  <c:v>834.3</c:v>
                </c:pt>
                <c:pt idx="37">
                  <c:v>796.4</c:v>
                </c:pt>
                <c:pt idx="38">
                  <c:v>826</c:v>
                </c:pt>
                <c:pt idx="39">
                  <c:v>873.7</c:v>
                </c:pt>
                <c:pt idx="40">
                  <c:v>867.8</c:v>
                </c:pt>
                <c:pt idx="41">
                  <c:v>849.4</c:v>
                </c:pt>
                <c:pt idx="42">
                  <c:v>842.8</c:v>
                </c:pt>
              </c:numCache>
            </c:numRef>
          </c:val>
        </c:ser>
        <c:ser>
          <c:idx val="2"/>
          <c:order val="2"/>
          <c:tx>
            <c:strRef>
              <c:f>ILZSG全球铅锌供需!$J$2</c:f>
              <c:strCache>
                <c:ptCount val="1"/>
                <c:pt idx="0">
                  <c:v>ILZSG:全球精炼铅消耗量:当月值</c:v>
                </c:pt>
              </c:strCache>
            </c:strRef>
          </c:tx>
          <c:marker>
            <c:symbol val="none"/>
          </c:marker>
          <c:cat>
            <c:numRef>
              <c:f>ILZSG全球铅锌供需!$G$4:$G$46</c:f>
              <c:numCache>
                <c:formatCode>yyyy\-mm;@</c:formatCode>
                <c:ptCount val="43"/>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numCache>
            </c:numRef>
          </c:cat>
          <c:val>
            <c:numRef>
              <c:f>ILZSG全球铅锌供需!$J$4:$J$46</c:f>
              <c:numCache>
                <c:formatCode>###,###,###,###,##0.00</c:formatCode>
                <c:ptCount val="43"/>
                <c:pt idx="0">
                  <c:v>902.1</c:v>
                </c:pt>
                <c:pt idx="1">
                  <c:v>848.6</c:v>
                </c:pt>
                <c:pt idx="2">
                  <c:v>880.1</c:v>
                </c:pt>
                <c:pt idx="3">
                  <c:v>879.7</c:v>
                </c:pt>
                <c:pt idx="4">
                  <c:v>956.6</c:v>
                </c:pt>
                <c:pt idx="5">
                  <c:v>985.6</c:v>
                </c:pt>
                <c:pt idx="6">
                  <c:v>899.4</c:v>
                </c:pt>
                <c:pt idx="7">
                  <c:v>880.6</c:v>
                </c:pt>
                <c:pt idx="8">
                  <c:v>925.9</c:v>
                </c:pt>
                <c:pt idx="9">
                  <c:v>911.7</c:v>
                </c:pt>
                <c:pt idx="10">
                  <c:v>887.8</c:v>
                </c:pt>
                <c:pt idx="11">
                  <c:v>899.4</c:v>
                </c:pt>
                <c:pt idx="12">
                  <c:v>939.9</c:v>
                </c:pt>
                <c:pt idx="13">
                  <c:v>839.7</c:v>
                </c:pt>
                <c:pt idx="14">
                  <c:v>810.3</c:v>
                </c:pt>
                <c:pt idx="15">
                  <c:v>933</c:v>
                </c:pt>
                <c:pt idx="16">
                  <c:v>927.9</c:v>
                </c:pt>
                <c:pt idx="17">
                  <c:v>927.5</c:v>
                </c:pt>
                <c:pt idx="18">
                  <c:v>906.3</c:v>
                </c:pt>
                <c:pt idx="19">
                  <c:v>942.1</c:v>
                </c:pt>
                <c:pt idx="20">
                  <c:v>902.6</c:v>
                </c:pt>
                <c:pt idx="21">
                  <c:v>930.5</c:v>
                </c:pt>
                <c:pt idx="22">
                  <c:v>892.1</c:v>
                </c:pt>
                <c:pt idx="23">
                  <c:v>867.2</c:v>
                </c:pt>
                <c:pt idx="24">
                  <c:v>871.6</c:v>
                </c:pt>
                <c:pt idx="25">
                  <c:v>795</c:v>
                </c:pt>
                <c:pt idx="26">
                  <c:v>756.1</c:v>
                </c:pt>
                <c:pt idx="27">
                  <c:v>941.6</c:v>
                </c:pt>
                <c:pt idx="28">
                  <c:v>884</c:v>
                </c:pt>
                <c:pt idx="29">
                  <c:v>869.5</c:v>
                </c:pt>
                <c:pt idx="30">
                  <c:v>887.2</c:v>
                </c:pt>
                <c:pt idx="31">
                  <c:v>852.4</c:v>
                </c:pt>
                <c:pt idx="32">
                  <c:v>812.5</c:v>
                </c:pt>
                <c:pt idx="33">
                  <c:v>858.7</c:v>
                </c:pt>
                <c:pt idx="34">
                  <c:v>786.5</c:v>
                </c:pt>
                <c:pt idx="35">
                  <c:v>803.3</c:v>
                </c:pt>
                <c:pt idx="36">
                  <c:v>833.7</c:v>
                </c:pt>
                <c:pt idx="37">
                  <c:v>786.5</c:v>
                </c:pt>
                <c:pt idx="38">
                  <c:v>821.3</c:v>
                </c:pt>
                <c:pt idx="39">
                  <c:v>889.9</c:v>
                </c:pt>
                <c:pt idx="40">
                  <c:v>875.5</c:v>
                </c:pt>
                <c:pt idx="41">
                  <c:v>844.9</c:v>
                </c:pt>
                <c:pt idx="42">
                  <c:v>839.4</c:v>
                </c:pt>
              </c:numCache>
            </c:numRef>
          </c:val>
        </c:ser>
        <c:marker val="1"/>
        <c:axId val="231292288"/>
        <c:axId val="231294080"/>
      </c:lineChart>
      <c:dateAx>
        <c:axId val="231292288"/>
        <c:scaling>
          <c:orientation val="minMax"/>
        </c:scaling>
        <c:axPos val="b"/>
        <c:numFmt formatCode="yyyy\-mm;@" sourceLinked="1"/>
        <c:tickLblPos val="nextTo"/>
        <c:txPr>
          <a:bodyPr/>
          <a:lstStyle/>
          <a:p>
            <a:pPr>
              <a:defRPr sz="700" baseline="0"/>
            </a:pPr>
            <a:endParaRPr lang="zh-CN"/>
          </a:p>
        </c:txPr>
        <c:crossAx val="231294080"/>
        <c:crosses val="autoZero"/>
        <c:auto val="1"/>
        <c:lblOffset val="100"/>
      </c:dateAx>
      <c:valAx>
        <c:axId val="231294080"/>
        <c:scaling>
          <c:orientation val="minMax"/>
        </c:scaling>
        <c:axPos val="l"/>
        <c:majorGridlines/>
        <c:numFmt formatCode="General" sourceLinked="0"/>
        <c:tickLblPos val="nextTo"/>
        <c:txPr>
          <a:bodyPr/>
          <a:lstStyle/>
          <a:p>
            <a:pPr>
              <a:defRPr sz="700" baseline="0"/>
            </a:pPr>
            <a:endParaRPr lang="zh-CN"/>
          </a:p>
        </c:txPr>
        <c:crossAx val="231292288"/>
        <c:crosses val="autoZero"/>
        <c:crossBetween val="between"/>
      </c:valAx>
      <c:valAx>
        <c:axId val="231295616"/>
        <c:scaling>
          <c:orientation val="minMax"/>
        </c:scaling>
        <c:axPos val="r"/>
        <c:numFmt formatCode="General" sourceLinked="0"/>
        <c:tickLblPos val="nextTo"/>
        <c:txPr>
          <a:bodyPr/>
          <a:lstStyle/>
          <a:p>
            <a:pPr>
              <a:defRPr sz="700" baseline="0"/>
            </a:pPr>
            <a:endParaRPr lang="zh-CN"/>
          </a:p>
        </c:txPr>
        <c:crossAx val="231297408"/>
        <c:crosses val="max"/>
        <c:crossBetween val="between"/>
      </c:valAx>
      <c:dateAx>
        <c:axId val="231297408"/>
        <c:scaling>
          <c:orientation val="minMax"/>
        </c:scaling>
        <c:delete val="1"/>
        <c:axPos val="b"/>
        <c:numFmt formatCode="yyyy\-mm;@" sourceLinked="1"/>
        <c:tickLblPos val="none"/>
        <c:crossAx val="231295616"/>
        <c:crosses val="autoZero"/>
        <c:auto val="1"/>
        <c:lblOffset val="100"/>
      </c:dateAx>
    </c:plotArea>
    <c:legend>
      <c:legendPos val="t"/>
      <c:layout>
        <c:manualLayout>
          <c:xMode val="edge"/>
          <c:yMode val="edge"/>
          <c:x val="6.2152230971130075E-3"/>
          <c:y val="0"/>
          <c:w val="0.97645844269466364"/>
          <c:h val="0.12289079755339002"/>
        </c:manualLayout>
      </c:layout>
      <c:txPr>
        <a:bodyPr/>
        <a:lstStyle/>
        <a:p>
          <a:pPr>
            <a:defRPr sz="700"/>
          </a:pPr>
          <a:endParaRPr lang="zh-CN"/>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0763288255564372"/>
          <c:y val="0.20066471681990827"/>
          <c:w val="0.77203937007874823"/>
          <c:h val="0.56280074365704291"/>
        </c:manualLayout>
      </c:layout>
      <c:barChart>
        <c:barDir val="col"/>
        <c:grouping val="clustered"/>
        <c:ser>
          <c:idx val="3"/>
          <c:order val="3"/>
          <c:tx>
            <c:v>全球精炼锌过剩/缺口（右轴）</c:v>
          </c:tx>
          <c:cat>
            <c:numRef>
              <c:f>ILZSG全球铅锌供需!$A$4:$A$46</c:f>
              <c:numCache>
                <c:formatCode>yyyy\-mm;@</c:formatCode>
                <c:ptCount val="43"/>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numCache>
            </c:numRef>
          </c:cat>
          <c:val>
            <c:numRef>
              <c:f>ILZSG全球铅锌供需!$E$4:$E$46</c:f>
              <c:numCache>
                <c:formatCode>###,###,###,###,##0.00</c:formatCode>
                <c:ptCount val="43"/>
                <c:pt idx="0">
                  <c:v>-24.3</c:v>
                </c:pt>
                <c:pt idx="1">
                  <c:v>34.300000000000004</c:v>
                </c:pt>
                <c:pt idx="2">
                  <c:v>-27</c:v>
                </c:pt>
                <c:pt idx="3">
                  <c:v>3.3</c:v>
                </c:pt>
                <c:pt idx="4">
                  <c:v>-42.5</c:v>
                </c:pt>
                <c:pt idx="5">
                  <c:v>-41.2</c:v>
                </c:pt>
                <c:pt idx="6">
                  <c:v>-21.7</c:v>
                </c:pt>
                <c:pt idx="7">
                  <c:v>12.3</c:v>
                </c:pt>
                <c:pt idx="8">
                  <c:v>-9.2000000000000011</c:v>
                </c:pt>
                <c:pt idx="9">
                  <c:v>7.8</c:v>
                </c:pt>
                <c:pt idx="10">
                  <c:v>-1.1000000000000001</c:v>
                </c:pt>
                <c:pt idx="11">
                  <c:v>-34.9</c:v>
                </c:pt>
                <c:pt idx="12">
                  <c:v>19.399999999999999</c:v>
                </c:pt>
                <c:pt idx="13">
                  <c:v>36.800000000000004</c:v>
                </c:pt>
                <c:pt idx="14">
                  <c:v>16.5</c:v>
                </c:pt>
                <c:pt idx="15">
                  <c:v>73.599999999999994</c:v>
                </c:pt>
                <c:pt idx="16">
                  <c:v>81</c:v>
                </c:pt>
                <c:pt idx="17">
                  <c:v>11.4</c:v>
                </c:pt>
                <c:pt idx="18">
                  <c:v>-18.2</c:v>
                </c:pt>
                <c:pt idx="19">
                  <c:v>-24.9</c:v>
                </c:pt>
                <c:pt idx="20">
                  <c:v>-10.9</c:v>
                </c:pt>
                <c:pt idx="21">
                  <c:v>4.5999999999999996</c:v>
                </c:pt>
                <c:pt idx="22">
                  <c:v>17.600000000000001</c:v>
                </c:pt>
                <c:pt idx="23">
                  <c:v>-6.6</c:v>
                </c:pt>
                <c:pt idx="24">
                  <c:v>17.3</c:v>
                </c:pt>
                <c:pt idx="25">
                  <c:v>59.1</c:v>
                </c:pt>
                <c:pt idx="26">
                  <c:v>50.3</c:v>
                </c:pt>
                <c:pt idx="27">
                  <c:v>25.9</c:v>
                </c:pt>
                <c:pt idx="28">
                  <c:v>19.899999999999999</c:v>
                </c:pt>
                <c:pt idx="29">
                  <c:v>-30.9</c:v>
                </c:pt>
                <c:pt idx="30">
                  <c:v>6.7</c:v>
                </c:pt>
                <c:pt idx="31">
                  <c:v>66.3</c:v>
                </c:pt>
                <c:pt idx="32">
                  <c:v>60.3</c:v>
                </c:pt>
                <c:pt idx="33">
                  <c:v>2</c:v>
                </c:pt>
                <c:pt idx="34">
                  <c:v>42.2</c:v>
                </c:pt>
                <c:pt idx="35">
                  <c:v>37.700000000000003</c:v>
                </c:pt>
                <c:pt idx="36">
                  <c:v>30.7</c:v>
                </c:pt>
                <c:pt idx="37">
                  <c:v>43.5</c:v>
                </c:pt>
                <c:pt idx="38">
                  <c:v>57.3</c:v>
                </c:pt>
                <c:pt idx="39">
                  <c:v>85.3</c:v>
                </c:pt>
                <c:pt idx="40">
                  <c:v>-25.7</c:v>
                </c:pt>
                <c:pt idx="41">
                  <c:v>74.599999999999994</c:v>
                </c:pt>
                <c:pt idx="42">
                  <c:v>35.5</c:v>
                </c:pt>
              </c:numCache>
            </c:numRef>
          </c:val>
        </c:ser>
        <c:axId val="119354880"/>
        <c:axId val="119347072"/>
      </c:barChart>
      <c:lineChart>
        <c:grouping val="standard"/>
        <c:ser>
          <c:idx val="0"/>
          <c:order val="0"/>
          <c:tx>
            <c:v>全球锌矿产量</c:v>
          </c:tx>
          <c:marker>
            <c:symbol val="none"/>
          </c:marker>
          <c:cat>
            <c:numRef>
              <c:f>ILZSG全球铅锌供需!$A$4:$A$46</c:f>
              <c:numCache>
                <c:formatCode>yyyy\-mm;@</c:formatCode>
                <c:ptCount val="43"/>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numCache>
            </c:numRef>
          </c:cat>
          <c:val>
            <c:numRef>
              <c:f>ILZSG全球铅锌供需!$B$4:$B$46</c:f>
              <c:numCache>
                <c:formatCode>###,###,###,###,##0.00</c:formatCode>
                <c:ptCount val="43"/>
                <c:pt idx="0">
                  <c:v>1158</c:v>
                </c:pt>
                <c:pt idx="1">
                  <c:v>936.5</c:v>
                </c:pt>
                <c:pt idx="2">
                  <c:v>991</c:v>
                </c:pt>
                <c:pt idx="3">
                  <c:v>1102.0999999999999</c:v>
                </c:pt>
                <c:pt idx="4">
                  <c:v>1154.9000000000001</c:v>
                </c:pt>
                <c:pt idx="5">
                  <c:v>1115.2</c:v>
                </c:pt>
                <c:pt idx="6">
                  <c:v>1146.2</c:v>
                </c:pt>
                <c:pt idx="7">
                  <c:v>1120.7</c:v>
                </c:pt>
                <c:pt idx="8">
                  <c:v>1111.3</c:v>
                </c:pt>
                <c:pt idx="9">
                  <c:v>1098.7</c:v>
                </c:pt>
                <c:pt idx="10">
                  <c:v>1143.5</c:v>
                </c:pt>
                <c:pt idx="11">
                  <c:v>1173.5999999999999</c:v>
                </c:pt>
                <c:pt idx="12">
                  <c:v>1167.7</c:v>
                </c:pt>
                <c:pt idx="13">
                  <c:v>982.1</c:v>
                </c:pt>
                <c:pt idx="14">
                  <c:v>1028.4000000000001</c:v>
                </c:pt>
                <c:pt idx="15">
                  <c:v>1200.7</c:v>
                </c:pt>
                <c:pt idx="16">
                  <c:v>1168.5999999999999</c:v>
                </c:pt>
                <c:pt idx="17">
                  <c:v>1167.5</c:v>
                </c:pt>
                <c:pt idx="18">
                  <c:v>1186.4000000000001</c:v>
                </c:pt>
                <c:pt idx="19">
                  <c:v>1159.3</c:v>
                </c:pt>
                <c:pt idx="20">
                  <c:v>1151.7</c:v>
                </c:pt>
                <c:pt idx="21">
                  <c:v>1240.7</c:v>
                </c:pt>
                <c:pt idx="22">
                  <c:v>1220.5</c:v>
                </c:pt>
                <c:pt idx="23">
                  <c:v>1161.9000000000001</c:v>
                </c:pt>
                <c:pt idx="24">
                  <c:v>1185.2</c:v>
                </c:pt>
                <c:pt idx="25">
                  <c:v>1010.9</c:v>
                </c:pt>
                <c:pt idx="26">
                  <c:v>1001.1</c:v>
                </c:pt>
                <c:pt idx="27">
                  <c:v>1189.4000000000001</c:v>
                </c:pt>
                <c:pt idx="28">
                  <c:v>1156.5999999999999</c:v>
                </c:pt>
                <c:pt idx="29">
                  <c:v>1145.4000000000001</c:v>
                </c:pt>
                <c:pt idx="30">
                  <c:v>1137.8</c:v>
                </c:pt>
                <c:pt idx="31">
                  <c:v>1112.8</c:v>
                </c:pt>
                <c:pt idx="32">
                  <c:v>1100.4000000000001</c:v>
                </c:pt>
                <c:pt idx="33">
                  <c:v>1135.0999999999999</c:v>
                </c:pt>
                <c:pt idx="34">
                  <c:v>1116.0999999999999</c:v>
                </c:pt>
                <c:pt idx="35">
                  <c:v>1056.2</c:v>
                </c:pt>
                <c:pt idx="36">
                  <c:v>1029.7</c:v>
                </c:pt>
                <c:pt idx="37">
                  <c:v>915.5</c:v>
                </c:pt>
                <c:pt idx="38">
                  <c:v>983.3</c:v>
                </c:pt>
                <c:pt idx="39">
                  <c:v>1116.5</c:v>
                </c:pt>
                <c:pt idx="40">
                  <c:v>1051.5</c:v>
                </c:pt>
                <c:pt idx="41">
                  <c:v>1054</c:v>
                </c:pt>
                <c:pt idx="42">
                  <c:v>1024.2</c:v>
                </c:pt>
              </c:numCache>
            </c:numRef>
          </c:val>
        </c:ser>
        <c:ser>
          <c:idx val="1"/>
          <c:order val="1"/>
          <c:tx>
            <c:v>全球精炼锌产量</c:v>
          </c:tx>
          <c:marker>
            <c:symbol val="none"/>
          </c:marker>
          <c:cat>
            <c:numRef>
              <c:f>ILZSG全球铅锌供需!$A$4:$A$46</c:f>
              <c:numCache>
                <c:formatCode>yyyy\-mm;@</c:formatCode>
                <c:ptCount val="43"/>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numCache>
            </c:numRef>
          </c:cat>
          <c:val>
            <c:numRef>
              <c:f>ILZSG全球铅锌供需!$C$4:$C$46</c:f>
              <c:numCache>
                <c:formatCode>###,###,###,###,##0.00</c:formatCode>
                <c:ptCount val="43"/>
                <c:pt idx="0">
                  <c:v>1104.3</c:v>
                </c:pt>
                <c:pt idx="1">
                  <c:v>1056.2</c:v>
                </c:pt>
                <c:pt idx="2">
                  <c:v>1053.8</c:v>
                </c:pt>
                <c:pt idx="3">
                  <c:v>1079.2</c:v>
                </c:pt>
                <c:pt idx="4">
                  <c:v>1129.5</c:v>
                </c:pt>
                <c:pt idx="5">
                  <c:v>1143.2</c:v>
                </c:pt>
                <c:pt idx="6">
                  <c:v>1120.5</c:v>
                </c:pt>
                <c:pt idx="7">
                  <c:v>1099.0999999999999</c:v>
                </c:pt>
                <c:pt idx="8">
                  <c:v>1092.9000000000001</c:v>
                </c:pt>
                <c:pt idx="9">
                  <c:v>1095.3</c:v>
                </c:pt>
                <c:pt idx="10">
                  <c:v>1105.9000000000001</c:v>
                </c:pt>
                <c:pt idx="11">
                  <c:v>1073.5999999999999</c:v>
                </c:pt>
                <c:pt idx="12">
                  <c:v>1120.2</c:v>
                </c:pt>
                <c:pt idx="13">
                  <c:v>1031.5999999999999</c:v>
                </c:pt>
                <c:pt idx="14">
                  <c:v>1055.3</c:v>
                </c:pt>
                <c:pt idx="15">
                  <c:v>1150.4000000000001</c:v>
                </c:pt>
                <c:pt idx="16">
                  <c:v>1105.0999999999999</c:v>
                </c:pt>
                <c:pt idx="17">
                  <c:v>1076</c:v>
                </c:pt>
                <c:pt idx="18">
                  <c:v>1015.3</c:v>
                </c:pt>
                <c:pt idx="19">
                  <c:v>1035.9000000000001</c:v>
                </c:pt>
                <c:pt idx="20">
                  <c:v>1013.7</c:v>
                </c:pt>
                <c:pt idx="21">
                  <c:v>1072.4000000000001</c:v>
                </c:pt>
                <c:pt idx="22">
                  <c:v>1053.5999999999999</c:v>
                </c:pt>
                <c:pt idx="23">
                  <c:v>1033.0999999999999</c:v>
                </c:pt>
                <c:pt idx="24">
                  <c:v>1070.2</c:v>
                </c:pt>
                <c:pt idx="25">
                  <c:v>1060.3</c:v>
                </c:pt>
                <c:pt idx="26">
                  <c:v>1054.5999999999999</c:v>
                </c:pt>
                <c:pt idx="27">
                  <c:v>1139.8</c:v>
                </c:pt>
                <c:pt idx="28">
                  <c:v>1118.5999999999999</c:v>
                </c:pt>
                <c:pt idx="29">
                  <c:v>1131.2</c:v>
                </c:pt>
                <c:pt idx="30">
                  <c:v>1093.9000000000001</c:v>
                </c:pt>
                <c:pt idx="31">
                  <c:v>1077.4000000000001</c:v>
                </c:pt>
                <c:pt idx="32">
                  <c:v>1064.5999999999999</c:v>
                </c:pt>
                <c:pt idx="33">
                  <c:v>1107</c:v>
                </c:pt>
                <c:pt idx="34">
                  <c:v>1079.2</c:v>
                </c:pt>
                <c:pt idx="35">
                  <c:v>1055.5999999999999</c:v>
                </c:pt>
                <c:pt idx="36">
                  <c:v>1104.2</c:v>
                </c:pt>
                <c:pt idx="37">
                  <c:v>1038.5999999999999</c:v>
                </c:pt>
                <c:pt idx="38">
                  <c:v>1068</c:v>
                </c:pt>
                <c:pt idx="39">
                  <c:v>1129.7</c:v>
                </c:pt>
                <c:pt idx="40">
                  <c:v>1105.8</c:v>
                </c:pt>
                <c:pt idx="41">
                  <c:v>1132.2</c:v>
                </c:pt>
                <c:pt idx="42">
                  <c:v>1096.3</c:v>
                </c:pt>
              </c:numCache>
            </c:numRef>
          </c:val>
        </c:ser>
        <c:ser>
          <c:idx val="2"/>
          <c:order val="2"/>
          <c:tx>
            <c:v>全球精炼锌消耗量</c:v>
          </c:tx>
          <c:marker>
            <c:symbol val="none"/>
          </c:marker>
          <c:cat>
            <c:numRef>
              <c:f>ILZSG全球铅锌供需!$A$4:$A$46</c:f>
              <c:numCache>
                <c:formatCode>yyyy\-mm;@</c:formatCode>
                <c:ptCount val="43"/>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numCache>
            </c:numRef>
          </c:cat>
          <c:val>
            <c:numRef>
              <c:f>ILZSG全球铅锌供需!$D$4:$D$46</c:f>
              <c:numCache>
                <c:formatCode>###,###,###,###,##0.00</c:formatCode>
                <c:ptCount val="43"/>
                <c:pt idx="0">
                  <c:v>1128.5999999999999</c:v>
                </c:pt>
                <c:pt idx="1">
                  <c:v>1021.9</c:v>
                </c:pt>
                <c:pt idx="2">
                  <c:v>1080.8</c:v>
                </c:pt>
                <c:pt idx="3">
                  <c:v>1075.9000000000001</c:v>
                </c:pt>
                <c:pt idx="4">
                  <c:v>1172</c:v>
                </c:pt>
                <c:pt idx="5">
                  <c:v>1184.4000000000001</c:v>
                </c:pt>
                <c:pt idx="6">
                  <c:v>1142.2</c:v>
                </c:pt>
                <c:pt idx="7">
                  <c:v>1086.8</c:v>
                </c:pt>
                <c:pt idx="8">
                  <c:v>1102.0999999999999</c:v>
                </c:pt>
                <c:pt idx="9">
                  <c:v>1087.5</c:v>
                </c:pt>
                <c:pt idx="10">
                  <c:v>1107</c:v>
                </c:pt>
                <c:pt idx="11">
                  <c:v>1108.5</c:v>
                </c:pt>
                <c:pt idx="12">
                  <c:v>1100.8</c:v>
                </c:pt>
                <c:pt idx="13">
                  <c:v>994.8</c:v>
                </c:pt>
                <c:pt idx="14">
                  <c:v>1038.8</c:v>
                </c:pt>
                <c:pt idx="15">
                  <c:v>1076.8</c:v>
                </c:pt>
                <c:pt idx="16">
                  <c:v>1024.0999999999999</c:v>
                </c:pt>
                <c:pt idx="17">
                  <c:v>1064.5999999999999</c:v>
                </c:pt>
                <c:pt idx="18">
                  <c:v>1033.5</c:v>
                </c:pt>
                <c:pt idx="19">
                  <c:v>1060.8</c:v>
                </c:pt>
                <c:pt idx="20">
                  <c:v>1024.5999999999999</c:v>
                </c:pt>
                <c:pt idx="21">
                  <c:v>1067.8</c:v>
                </c:pt>
                <c:pt idx="22">
                  <c:v>1036</c:v>
                </c:pt>
                <c:pt idx="23">
                  <c:v>1039.7</c:v>
                </c:pt>
                <c:pt idx="24">
                  <c:v>1052.9000000000001</c:v>
                </c:pt>
                <c:pt idx="25">
                  <c:v>1001.2</c:v>
                </c:pt>
                <c:pt idx="26">
                  <c:v>1004.3</c:v>
                </c:pt>
                <c:pt idx="27">
                  <c:v>1113.9000000000001</c:v>
                </c:pt>
                <c:pt idx="28">
                  <c:v>1098.7</c:v>
                </c:pt>
                <c:pt idx="29">
                  <c:v>1162.0999999999999</c:v>
                </c:pt>
                <c:pt idx="30">
                  <c:v>1087.2</c:v>
                </c:pt>
                <c:pt idx="31">
                  <c:v>1011.1</c:v>
                </c:pt>
                <c:pt idx="32">
                  <c:v>1004.3</c:v>
                </c:pt>
                <c:pt idx="33">
                  <c:v>1105</c:v>
                </c:pt>
                <c:pt idx="34">
                  <c:v>1037</c:v>
                </c:pt>
                <c:pt idx="35">
                  <c:v>1017.9</c:v>
                </c:pt>
                <c:pt idx="36">
                  <c:v>1073.5</c:v>
                </c:pt>
                <c:pt idx="37">
                  <c:v>995.1</c:v>
                </c:pt>
                <c:pt idx="38">
                  <c:v>1010.7</c:v>
                </c:pt>
                <c:pt idx="39">
                  <c:v>1044.4000000000001</c:v>
                </c:pt>
                <c:pt idx="40">
                  <c:v>1131.5</c:v>
                </c:pt>
                <c:pt idx="41">
                  <c:v>1057.5999999999999</c:v>
                </c:pt>
                <c:pt idx="42">
                  <c:v>1060.8</c:v>
                </c:pt>
              </c:numCache>
            </c:numRef>
          </c:val>
        </c:ser>
        <c:marker val="1"/>
        <c:axId val="119339264"/>
        <c:axId val="119345152"/>
      </c:lineChart>
      <c:dateAx>
        <c:axId val="119339264"/>
        <c:scaling>
          <c:orientation val="minMax"/>
        </c:scaling>
        <c:axPos val="b"/>
        <c:numFmt formatCode="yyyy\-mm;@" sourceLinked="1"/>
        <c:tickLblPos val="nextTo"/>
        <c:txPr>
          <a:bodyPr/>
          <a:lstStyle/>
          <a:p>
            <a:pPr>
              <a:defRPr sz="700" baseline="0"/>
            </a:pPr>
            <a:endParaRPr lang="zh-CN"/>
          </a:p>
        </c:txPr>
        <c:crossAx val="119345152"/>
        <c:crosses val="autoZero"/>
        <c:auto val="1"/>
        <c:lblOffset val="100"/>
      </c:dateAx>
      <c:valAx>
        <c:axId val="119345152"/>
        <c:scaling>
          <c:orientation val="minMax"/>
        </c:scaling>
        <c:axPos val="l"/>
        <c:majorGridlines/>
        <c:numFmt formatCode="#,##0;[Red]\-#,##0" sourceLinked="0"/>
        <c:tickLblPos val="nextTo"/>
        <c:txPr>
          <a:bodyPr/>
          <a:lstStyle/>
          <a:p>
            <a:pPr>
              <a:defRPr sz="650" baseline="0"/>
            </a:pPr>
            <a:endParaRPr lang="zh-CN"/>
          </a:p>
        </c:txPr>
        <c:crossAx val="119339264"/>
        <c:crosses val="autoZero"/>
        <c:crossBetween val="between"/>
      </c:valAx>
      <c:valAx>
        <c:axId val="119347072"/>
        <c:scaling>
          <c:orientation val="minMax"/>
        </c:scaling>
        <c:axPos val="r"/>
        <c:numFmt formatCode="General" sourceLinked="0"/>
        <c:tickLblPos val="nextTo"/>
        <c:txPr>
          <a:bodyPr/>
          <a:lstStyle/>
          <a:p>
            <a:pPr>
              <a:defRPr sz="650" baseline="0"/>
            </a:pPr>
            <a:endParaRPr lang="zh-CN"/>
          </a:p>
        </c:txPr>
        <c:crossAx val="119354880"/>
        <c:crosses val="max"/>
        <c:crossBetween val="between"/>
      </c:valAx>
      <c:dateAx>
        <c:axId val="119354880"/>
        <c:scaling>
          <c:orientation val="minMax"/>
        </c:scaling>
        <c:delete val="1"/>
        <c:axPos val="b"/>
        <c:numFmt formatCode="yyyy\-mm;@" sourceLinked="1"/>
        <c:tickLblPos val="none"/>
        <c:crossAx val="119347072"/>
        <c:crosses val="autoZero"/>
        <c:auto val="1"/>
        <c:lblOffset val="100"/>
      </c:dateAx>
    </c:plotArea>
    <c:legend>
      <c:legendPos val="t"/>
      <c:layout>
        <c:manualLayout>
          <c:xMode val="edge"/>
          <c:yMode val="edge"/>
          <c:x val="5.9945665433950059E-2"/>
          <c:y val="1.5363813903485421E-2"/>
          <c:w val="0.8975165649149871"/>
          <c:h val="0.1414849993124622"/>
        </c:manualLayout>
      </c:layout>
      <c:txPr>
        <a:bodyPr/>
        <a:lstStyle/>
        <a:p>
          <a:pPr>
            <a:defRPr sz="750" baseline="0"/>
          </a:pPr>
          <a:endParaRPr lang="zh-CN"/>
        </a:p>
      </c:tx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5848953421212347"/>
          <c:y val="0.14974614965582161"/>
          <c:w val="0.71314134479708169"/>
          <c:h val="0.66863130787896852"/>
        </c:manualLayout>
      </c:layout>
      <c:areaChart>
        <c:grouping val="stacked"/>
        <c:ser>
          <c:idx val="0"/>
          <c:order val="0"/>
          <c:tx>
            <c:strRef>
              <c:f>金属库存及仓单工作区!$V$2</c:f>
              <c:strCache>
                <c:ptCount val="1"/>
                <c:pt idx="0">
                  <c:v>伦敦铅库存</c:v>
                </c:pt>
              </c:strCache>
            </c:strRef>
          </c:tx>
          <c:cat>
            <c:numRef>
              <c:f>金属库存及仓单工作区!$K$4:$K$296</c:f>
              <c:numCache>
                <c:formatCode>yyyy/m/d</c:formatCode>
                <c:ptCount val="293"/>
                <c:pt idx="0">
                  <c:v>41795</c:v>
                </c:pt>
                <c:pt idx="1">
                  <c:v>41794</c:v>
                </c:pt>
                <c:pt idx="2">
                  <c:v>41793</c:v>
                </c:pt>
                <c:pt idx="3">
                  <c:v>41792</c:v>
                </c:pt>
                <c:pt idx="4">
                  <c:v>41791</c:v>
                </c:pt>
                <c:pt idx="5">
                  <c:v>41790</c:v>
                </c:pt>
                <c:pt idx="6">
                  <c:v>41789</c:v>
                </c:pt>
                <c:pt idx="7">
                  <c:v>41788</c:v>
                </c:pt>
                <c:pt idx="8">
                  <c:v>41787</c:v>
                </c:pt>
                <c:pt idx="9">
                  <c:v>41786</c:v>
                </c:pt>
                <c:pt idx="10">
                  <c:v>41785</c:v>
                </c:pt>
                <c:pt idx="11">
                  <c:v>41784</c:v>
                </c:pt>
                <c:pt idx="12">
                  <c:v>41783</c:v>
                </c:pt>
                <c:pt idx="13">
                  <c:v>41782</c:v>
                </c:pt>
                <c:pt idx="14">
                  <c:v>41781</c:v>
                </c:pt>
                <c:pt idx="15">
                  <c:v>41780</c:v>
                </c:pt>
                <c:pt idx="16">
                  <c:v>41779</c:v>
                </c:pt>
                <c:pt idx="17">
                  <c:v>41778</c:v>
                </c:pt>
                <c:pt idx="18">
                  <c:v>41777</c:v>
                </c:pt>
                <c:pt idx="19">
                  <c:v>41776</c:v>
                </c:pt>
                <c:pt idx="20">
                  <c:v>41775</c:v>
                </c:pt>
                <c:pt idx="21">
                  <c:v>41774</c:v>
                </c:pt>
                <c:pt idx="22">
                  <c:v>41773</c:v>
                </c:pt>
                <c:pt idx="23">
                  <c:v>41772</c:v>
                </c:pt>
                <c:pt idx="24">
                  <c:v>41771</c:v>
                </c:pt>
                <c:pt idx="25">
                  <c:v>41770</c:v>
                </c:pt>
                <c:pt idx="26">
                  <c:v>41769</c:v>
                </c:pt>
                <c:pt idx="27">
                  <c:v>41768</c:v>
                </c:pt>
                <c:pt idx="28">
                  <c:v>41767</c:v>
                </c:pt>
                <c:pt idx="29">
                  <c:v>41766</c:v>
                </c:pt>
                <c:pt idx="30">
                  <c:v>41765</c:v>
                </c:pt>
                <c:pt idx="31">
                  <c:v>41764</c:v>
                </c:pt>
                <c:pt idx="32">
                  <c:v>41763</c:v>
                </c:pt>
                <c:pt idx="33">
                  <c:v>41762</c:v>
                </c:pt>
                <c:pt idx="34">
                  <c:v>41761</c:v>
                </c:pt>
                <c:pt idx="35">
                  <c:v>41760</c:v>
                </c:pt>
                <c:pt idx="36">
                  <c:v>41759</c:v>
                </c:pt>
                <c:pt idx="37">
                  <c:v>41758</c:v>
                </c:pt>
                <c:pt idx="38">
                  <c:v>41757</c:v>
                </c:pt>
                <c:pt idx="39">
                  <c:v>41756</c:v>
                </c:pt>
                <c:pt idx="40">
                  <c:v>41755</c:v>
                </c:pt>
                <c:pt idx="41">
                  <c:v>41754</c:v>
                </c:pt>
                <c:pt idx="42">
                  <c:v>41753</c:v>
                </c:pt>
                <c:pt idx="43">
                  <c:v>41752</c:v>
                </c:pt>
                <c:pt idx="44">
                  <c:v>41751</c:v>
                </c:pt>
                <c:pt idx="45">
                  <c:v>41750</c:v>
                </c:pt>
                <c:pt idx="46">
                  <c:v>41749</c:v>
                </c:pt>
                <c:pt idx="47">
                  <c:v>41748</c:v>
                </c:pt>
                <c:pt idx="48">
                  <c:v>41747</c:v>
                </c:pt>
                <c:pt idx="49">
                  <c:v>41746</c:v>
                </c:pt>
                <c:pt idx="50">
                  <c:v>41745</c:v>
                </c:pt>
                <c:pt idx="51">
                  <c:v>41744</c:v>
                </c:pt>
                <c:pt idx="52">
                  <c:v>41743</c:v>
                </c:pt>
                <c:pt idx="53">
                  <c:v>41742</c:v>
                </c:pt>
                <c:pt idx="54">
                  <c:v>41741</c:v>
                </c:pt>
                <c:pt idx="55">
                  <c:v>41740</c:v>
                </c:pt>
                <c:pt idx="56">
                  <c:v>41739</c:v>
                </c:pt>
                <c:pt idx="57">
                  <c:v>41738</c:v>
                </c:pt>
                <c:pt idx="58">
                  <c:v>41737</c:v>
                </c:pt>
                <c:pt idx="59">
                  <c:v>41736</c:v>
                </c:pt>
                <c:pt idx="60">
                  <c:v>41735</c:v>
                </c:pt>
                <c:pt idx="61">
                  <c:v>41734</c:v>
                </c:pt>
                <c:pt idx="62">
                  <c:v>41733</c:v>
                </c:pt>
                <c:pt idx="63">
                  <c:v>41732</c:v>
                </c:pt>
                <c:pt idx="64">
                  <c:v>41731</c:v>
                </c:pt>
                <c:pt idx="65">
                  <c:v>41730</c:v>
                </c:pt>
                <c:pt idx="66">
                  <c:v>41729</c:v>
                </c:pt>
                <c:pt idx="67">
                  <c:v>41728</c:v>
                </c:pt>
                <c:pt idx="68">
                  <c:v>41727</c:v>
                </c:pt>
                <c:pt idx="69">
                  <c:v>41726</c:v>
                </c:pt>
                <c:pt idx="70">
                  <c:v>41725</c:v>
                </c:pt>
                <c:pt idx="71">
                  <c:v>41724</c:v>
                </c:pt>
                <c:pt idx="72">
                  <c:v>41723</c:v>
                </c:pt>
                <c:pt idx="73">
                  <c:v>41722</c:v>
                </c:pt>
                <c:pt idx="74">
                  <c:v>41721</c:v>
                </c:pt>
                <c:pt idx="75">
                  <c:v>41720</c:v>
                </c:pt>
                <c:pt idx="76">
                  <c:v>41719</c:v>
                </c:pt>
                <c:pt idx="77">
                  <c:v>41718</c:v>
                </c:pt>
                <c:pt idx="78">
                  <c:v>41717</c:v>
                </c:pt>
                <c:pt idx="79">
                  <c:v>41716</c:v>
                </c:pt>
                <c:pt idx="80">
                  <c:v>41715</c:v>
                </c:pt>
                <c:pt idx="81">
                  <c:v>41714</c:v>
                </c:pt>
                <c:pt idx="82">
                  <c:v>41713</c:v>
                </c:pt>
                <c:pt idx="83">
                  <c:v>41712</c:v>
                </c:pt>
                <c:pt idx="84">
                  <c:v>41711</c:v>
                </c:pt>
                <c:pt idx="85">
                  <c:v>41710</c:v>
                </c:pt>
                <c:pt idx="86">
                  <c:v>41709</c:v>
                </c:pt>
                <c:pt idx="87">
                  <c:v>41708</c:v>
                </c:pt>
                <c:pt idx="88">
                  <c:v>41707</c:v>
                </c:pt>
                <c:pt idx="89">
                  <c:v>41706</c:v>
                </c:pt>
                <c:pt idx="90">
                  <c:v>41705</c:v>
                </c:pt>
                <c:pt idx="91">
                  <c:v>41704</c:v>
                </c:pt>
                <c:pt idx="92">
                  <c:v>41703</c:v>
                </c:pt>
                <c:pt idx="93">
                  <c:v>41702</c:v>
                </c:pt>
                <c:pt idx="94">
                  <c:v>41701</c:v>
                </c:pt>
                <c:pt idx="95">
                  <c:v>41700</c:v>
                </c:pt>
                <c:pt idx="96">
                  <c:v>41699</c:v>
                </c:pt>
                <c:pt idx="97">
                  <c:v>41698</c:v>
                </c:pt>
                <c:pt idx="98">
                  <c:v>41697</c:v>
                </c:pt>
                <c:pt idx="99">
                  <c:v>41696</c:v>
                </c:pt>
                <c:pt idx="100">
                  <c:v>41695</c:v>
                </c:pt>
                <c:pt idx="101">
                  <c:v>41694</c:v>
                </c:pt>
                <c:pt idx="102">
                  <c:v>41693</c:v>
                </c:pt>
                <c:pt idx="103">
                  <c:v>41692</c:v>
                </c:pt>
                <c:pt idx="104">
                  <c:v>41691</c:v>
                </c:pt>
                <c:pt idx="105">
                  <c:v>41690</c:v>
                </c:pt>
                <c:pt idx="106">
                  <c:v>41689</c:v>
                </c:pt>
                <c:pt idx="107">
                  <c:v>41688</c:v>
                </c:pt>
                <c:pt idx="108">
                  <c:v>41687</c:v>
                </c:pt>
                <c:pt idx="109">
                  <c:v>41686</c:v>
                </c:pt>
                <c:pt idx="110">
                  <c:v>41685</c:v>
                </c:pt>
                <c:pt idx="111">
                  <c:v>41684</c:v>
                </c:pt>
                <c:pt idx="112">
                  <c:v>41683</c:v>
                </c:pt>
                <c:pt idx="113">
                  <c:v>41682</c:v>
                </c:pt>
                <c:pt idx="114">
                  <c:v>41681</c:v>
                </c:pt>
                <c:pt idx="115">
                  <c:v>41680</c:v>
                </c:pt>
                <c:pt idx="116">
                  <c:v>41679</c:v>
                </c:pt>
                <c:pt idx="117">
                  <c:v>41678</c:v>
                </c:pt>
                <c:pt idx="118">
                  <c:v>41677</c:v>
                </c:pt>
                <c:pt idx="119">
                  <c:v>41676</c:v>
                </c:pt>
                <c:pt idx="120">
                  <c:v>41675</c:v>
                </c:pt>
                <c:pt idx="121">
                  <c:v>41674</c:v>
                </c:pt>
                <c:pt idx="122">
                  <c:v>41673</c:v>
                </c:pt>
                <c:pt idx="123">
                  <c:v>41672</c:v>
                </c:pt>
                <c:pt idx="124">
                  <c:v>41671</c:v>
                </c:pt>
                <c:pt idx="125">
                  <c:v>41670</c:v>
                </c:pt>
                <c:pt idx="126">
                  <c:v>41669</c:v>
                </c:pt>
                <c:pt idx="127">
                  <c:v>41668</c:v>
                </c:pt>
                <c:pt idx="128">
                  <c:v>41667</c:v>
                </c:pt>
                <c:pt idx="129">
                  <c:v>41666</c:v>
                </c:pt>
                <c:pt idx="130">
                  <c:v>41665</c:v>
                </c:pt>
                <c:pt idx="131">
                  <c:v>41664</c:v>
                </c:pt>
                <c:pt idx="132">
                  <c:v>41663</c:v>
                </c:pt>
                <c:pt idx="133">
                  <c:v>41662</c:v>
                </c:pt>
                <c:pt idx="134">
                  <c:v>41661</c:v>
                </c:pt>
                <c:pt idx="135">
                  <c:v>41660</c:v>
                </c:pt>
                <c:pt idx="136">
                  <c:v>41659</c:v>
                </c:pt>
                <c:pt idx="137">
                  <c:v>41658</c:v>
                </c:pt>
                <c:pt idx="138">
                  <c:v>41657</c:v>
                </c:pt>
                <c:pt idx="139">
                  <c:v>41656</c:v>
                </c:pt>
                <c:pt idx="140">
                  <c:v>41655</c:v>
                </c:pt>
                <c:pt idx="141">
                  <c:v>41654</c:v>
                </c:pt>
                <c:pt idx="142">
                  <c:v>41653</c:v>
                </c:pt>
                <c:pt idx="143">
                  <c:v>41652</c:v>
                </c:pt>
                <c:pt idx="144">
                  <c:v>41651</c:v>
                </c:pt>
                <c:pt idx="145">
                  <c:v>41650</c:v>
                </c:pt>
                <c:pt idx="146">
                  <c:v>41649</c:v>
                </c:pt>
                <c:pt idx="147">
                  <c:v>41648</c:v>
                </c:pt>
                <c:pt idx="148">
                  <c:v>41647</c:v>
                </c:pt>
                <c:pt idx="149">
                  <c:v>41646</c:v>
                </c:pt>
                <c:pt idx="150">
                  <c:v>41645</c:v>
                </c:pt>
                <c:pt idx="151">
                  <c:v>41644</c:v>
                </c:pt>
                <c:pt idx="152">
                  <c:v>41643</c:v>
                </c:pt>
                <c:pt idx="153">
                  <c:v>41642</c:v>
                </c:pt>
                <c:pt idx="154">
                  <c:v>41641</c:v>
                </c:pt>
                <c:pt idx="155">
                  <c:v>41640</c:v>
                </c:pt>
                <c:pt idx="156">
                  <c:v>41639</c:v>
                </c:pt>
                <c:pt idx="157">
                  <c:v>41638</c:v>
                </c:pt>
                <c:pt idx="158">
                  <c:v>41637</c:v>
                </c:pt>
                <c:pt idx="159">
                  <c:v>41636</c:v>
                </c:pt>
                <c:pt idx="160">
                  <c:v>41635</c:v>
                </c:pt>
                <c:pt idx="161">
                  <c:v>41634</c:v>
                </c:pt>
                <c:pt idx="162">
                  <c:v>41633</c:v>
                </c:pt>
                <c:pt idx="163">
                  <c:v>41632</c:v>
                </c:pt>
                <c:pt idx="164">
                  <c:v>41631</c:v>
                </c:pt>
                <c:pt idx="165">
                  <c:v>41630</c:v>
                </c:pt>
                <c:pt idx="166">
                  <c:v>41629</c:v>
                </c:pt>
                <c:pt idx="167">
                  <c:v>41628</c:v>
                </c:pt>
                <c:pt idx="168">
                  <c:v>41627</c:v>
                </c:pt>
                <c:pt idx="169">
                  <c:v>41626</c:v>
                </c:pt>
                <c:pt idx="170">
                  <c:v>41625</c:v>
                </c:pt>
                <c:pt idx="171">
                  <c:v>41624</c:v>
                </c:pt>
                <c:pt idx="172">
                  <c:v>41623</c:v>
                </c:pt>
                <c:pt idx="173">
                  <c:v>41622</c:v>
                </c:pt>
                <c:pt idx="174">
                  <c:v>41621</c:v>
                </c:pt>
                <c:pt idx="175">
                  <c:v>41620</c:v>
                </c:pt>
                <c:pt idx="176">
                  <c:v>41619</c:v>
                </c:pt>
                <c:pt idx="177">
                  <c:v>41618</c:v>
                </c:pt>
                <c:pt idx="178">
                  <c:v>41617</c:v>
                </c:pt>
                <c:pt idx="179">
                  <c:v>41616</c:v>
                </c:pt>
                <c:pt idx="180">
                  <c:v>41615</c:v>
                </c:pt>
                <c:pt idx="181">
                  <c:v>41614</c:v>
                </c:pt>
                <c:pt idx="182">
                  <c:v>41613</c:v>
                </c:pt>
                <c:pt idx="183">
                  <c:v>41612</c:v>
                </c:pt>
                <c:pt idx="184">
                  <c:v>41611</c:v>
                </c:pt>
                <c:pt idx="185">
                  <c:v>41610</c:v>
                </c:pt>
                <c:pt idx="186">
                  <c:v>41609</c:v>
                </c:pt>
                <c:pt idx="187">
                  <c:v>41608</c:v>
                </c:pt>
                <c:pt idx="188">
                  <c:v>41607</c:v>
                </c:pt>
                <c:pt idx="189">
                  <c:v>41606</c:v>
                </c:pt>
                <c:pt idx="190">
                  <c:v>41605</c:v>
                </c:pt>
                <c:pt idx="191">
                  <c:v>41604</c:v>
                </c:pt>
                <c:pt idx="192">
                  <c:v>41603</c:v>
                </c:pt>
                <c:pt idx="193">
                  <c:v>41602</c:v>
                </c:pt>
                <c:pt idx="194">
                  <c:v>41601</c:v>
                </c:pt>
                <c:pt idx="195">
                  <c:v>41600</c:v>
                </c:pt>
                <c:pt idx="196">
                  <c:v>41599</c:v>
                </c:pt>
                <c:pt idx="197">
                  <c:v>41598</c:v>
                </c:pt>
                <c:pt idx="198">
                  <c:v>41597</c:v>
                </c:pt>
                <c:pt idx="199">
                  <c:v>41596</c:v>
                </c:pt>
                <c:pt idx="200">
                  <c:v>41595</c:v>
                </c:pt>
                <c:pt idx="201">
                  <c:v>41594</c:v>
                </c:pt>
                <c:pt idx="202">
                  <c:v>41593</c:v>
                </c:pt>
                <c:pt idx="203">
                  <c:v>41592</c:v>
                </c:pt>
                <c:pt idx="204">
                  <c:v>41591</c:v>
                </c:pt>
                <c:pt idx="205">
                  <c:v>41590</c:v>
                </c:pt>
                <c:pt idx="206">
                  <c:v>41589</c:v>
                </c:pt>
                <c:pt idx="207">
                  <c:v>41588</c:v>
                </c:pt>
                <c:pt idx="208">
                  <c:v>41587</c:v>
                </c:pt>
                <c:pt idx="209">
                  <c:v>41586</c:v>
                </c:pt>
                <c:pt idx="210">
                  <c:v>41585</c:v>
                </c:pt>
                <c:pt idx="211">
                  <c:v>41584</c:v>
                </c:pt>
                <c:pt idx="212">
                  <c:v>41583</c:v>
                </c:pt>
                <c:pt idx="213">
                  <c:v>41582</c:v>
                </c:pt>
                <c:pt idx="214">
                  <c:v>41581</c:v>
                </c:pt>
                <c:pt idx="215">
                  <c:v>41580</c:v>
                </c:pt>
                <c:pt idx="216">
                  <c:v>41579</c:v>
                </c:pt>
                <c:pt idx="217">
                  <c:v>41578</c:v>
                </c:pt>
                <c:pt idx="218">
                  <c:v>41577</c:v>
                </c:pt>
                <c:pt idx="219">
                  <c:v>41576</c:v>
                </c:pt>
                <c:pt idx="220">
                  <c:v>41575</c:v>
                </c:pt>
                <c:pt idx="221">
                  <c:v>41574</c:v>
                </c:pt>
                <c:pt idx="222">
                  <c:v>41573</c:v>
                </c:pt>
                <c:pt idx="223">
                  <c:v>41572</c:v>
                </c:pt>
                <c:pt idx="224">
                  <c:v>41571</c:v>
                </c:pt>
                <c:pt idx="225">
                  <c:v>41570</c:v>
                </c:pt>
                <c:pt idx="226">
                  <c:v>41569</c:v>
                </c:pt>
                <c:pt idx="227">
                  <c:v>41568</c:v>
                </c:pt>
                <c:pt idx="228">
                  <c:v>41567</c:v>
                </c:pt>
                <c:pt idx="229">
                  <c:v>41566</c:v>
                </c:pt>
                <c:pt idx="230">
                  <c:v>41565</c:v>
                </c:pt>
                <c:pt idx="231">
                  <c:v>41564</c:v>
                </c:pt>
                <c:pt idx="232">
                  <c:v>41563</c:v>
                </c:pt>
                <c:pt idx="233">
                  <c:v>41562</c:v>
                </c:pt>
                <c:pt idx="234">
                  <c:v>41561</c:v>
                </c:pt>
                <c:pt idx="235">
                  <c:v>41560</c:v>
                </c:pt>
                <c:pt idx="236">
                  <c:v>41559</c:v>
                </c:pt>
                <c:pt idx="237">
                  <c:v>41558</c:v>
                </c:pt>
                <c:pt idx="238">
                  <c:v>41557</c:v>
                </c:pt>
                <c:pt idx="239">
                  <c:v>41556</c:v>
                </c:pt>
                <c:pt idx="240">
                  <c:v>41555</c:v>
                </c:pt>
                <c:pt idx="241">
                  <c:v>41554</c:v>
                </c:pt>
                <c:pt idx="242">
                  <c:v>41553</c:v>
                </c:pt>
                <c:pt idx="243">
                  <c:v>41552</c:v>
                </c:pt>
                <c:pt idx="244">
                  <c:v>41551</c:v>
                </c:pt>
                <c:pt idx="245">
                  <c:v>41550</c:v>
                </c:pt>
                <c:pt idx="246">
                  <c:v>41549</c:v>
                </c:pt>
                <c:pt idx="247">
                  <c:v>41548</c:v>
                </c:pt>
                <c:pt idx="248">
                  <c:v>41547</c:v>
                </c:pt>
                <c:pt idx="249">
                  <c:v>41546</c:v>
                </c:pt>
                <c:pt idx="250">
                  <c:v>41545</c:v>
                </c:pt>
                <c:pt idx="251">
                  <c:v>41544</c:v>
                </c:pt>
                <c:pt idx="252">
                  <c:v>41543</c:v>
                </c:pt>
                <c:pt idx="253">
                  <c:v>41542</c:v>
                </c:pt>
                <c:pt idx="254">
                  <c:v>41541</c:v>
                </c:pt>
                <c:pt idx="255">
                  <c:v>41540</c:v>
                </c:pt>
                <c:pt idx="256">
                  <c:v>41539</c:v>
                </c:pt>
                <c:pt idx="257">
                  <c:v>41538</c:v>
                </c:pt>
                <c:pt idx="258">
                  <c:v>41537</c:v>
                </c:pt>
                <c:pt idx="259">
                  <c:v>41536</c:v>
                </c:pt>
                <c:pt idx="260">
                  <c:v>41535</c:v>
                </c:pt>
                <c:pt idx="261">
                  <c:v>41534</c:v>
                </c:pt>
                <c:pt idx="262">
                  <c:v>41533</c:v>
                </c:pt>
                <c:pt idx="263">
                  <c:v>41532</c:v>
                </c:pt>
                <c:pt idx="264">
                  <c:v>41531</c:v>
                </c:pt>
                <c:pt idx="265">
                  <c:v>41530</c:v>
                </c:pt>
                <c:pt idx="266">
                  <c:v>41529</c:v>
                </c:pt>
                <c:pt idx="267">
                  <c:v>41528</c:v>
                </c:pt>
                <c:pt idx="268">
                  <c:v>41527</c:v>
                </c:pt>
                <c:pt idx="269">
                  <c:v>41526</c:v>
                </c:pt>
                <c:pt idx="270">
                  <c:v>41525</c:v>
                </c:pt>
                <c:pt idx="271">
                  <c:v>41524</c:v>
                </c:pt>
                <c:pt idx="272">
                  <c:v>41523</c:v>
                </c:pt>
                <c:pt idx="273">
                  <c:v>41522</c:v>
                </c:pt>
                <c:pt idx="274">
                  <c:v>41521</c:v>
                </c:pt>
                <c:pt idx="275">
                  <c:v>41520</c:v>
                </c:pt>
                <c:pt idx="276">
                  <c:v>41519</c:v>
                </c:pt>
                <c:pt idx="277">
                  <c:v>41518</c:v>
                </c:pt>
                <c:pt idx="278">
                  <c:v>41517</c:v>
                </c:pt>
                <c:pt idx="279">
                  <c:v>41516</c:v>
                </c:pt>
                <c:pt idx="280">
                  <c:v>41515</c:v>
                </c:pt>
                <c:pt idx="281">
                  <c:v>41514</c:v>
                </c:pt>
                <c:pt idx="282">
                  <c:v>41513</c:v>
                </c:pt>
                <c:pt idx="283">
                  <c:v>41512</c:v>
                </c:pt>
                <c:pt idx="284">
                  <c:v>41511</c:v>
                </c:pt>
                <c:pt idx="285">
                  <c:v>41510</c:v>
                </c:pt>
                <c:pt idx="286">
                  <c:v>41509</c:v>
                </c:pt>
                <c:pt idx="287">
                  <c:v>41508</c:v>
                </c:pt>
                <c:pt idx="288">
                  <c:v>41507</c:v>
                </c:pt>
                <c:pt idx="289">
                  <c:v>41506</c:v>
                </c:pt>
                <c:pt idx="290">
                  <c:v>41505</c:v>
                </c:pt>
                <c:pt idx="291">
                  <c:v>41504</c:v>
                </c:pt>
                <c:pt idx="292">
                  <c:v>41503</c:v>
                </c:pt>
              </c:numCache>
            </c:numRef>
          </c:cat>
          <c:val>
            <c:numRef>
              <c:f>金属库存及仓单工作区!$V$4:$V$296</c:f>
              <c:numCache>
                <c:formatCode>0_);[Red]\(0\)</c:formatCode>
                <c:ptCount val="293"/>
                <c:pt idx="0">
                  <c:v>190375</c:v>
                </c:pt>
                <c:pt idx="1">
                  <c:v>190425</c:v>
                </c:pt>
                <c:pt idx="2">
                  <c:v>190425</c:v>
                </c:pt>
                <c:pt idx="3">
                  <c:v>190475</c:v>
                </c:pt>
                <c:pt idx="4">
                  <c:v>190475</c:v>
                </c:pt>
                <c:pt idx="5">
                  <c:v>190475</c:v>
                </c:pt>
                <c:pt idx="6">
                  <c:v>190475</c:v>
                </c:pt>
                <c:pt idx="7">
                  <c:v>190850</c:v>
                </c:pt>
                <c:pt idx="8">
                  <c:v>191950</c:v>
                </c:pt>
                <c:pt idx="9">
                  <c:v>192500</c:v>
                </c:pt>
                <c:pt idx="10">
                  <c:v>192275</c:v>
                </c:pt>
                <c:pt idx="11">
                  <c:v>192275</c:v>
                </c:pt>
                <c:pt idx="12">
                  <c:v>192275</c:v>
                </c:pt>
                <c:pt idx="13">
                  <c:v>192275</c:v>
                </c:pt>
                <c:pt idx="14">
                  <c:v>192275</c:v>
                </c:pt>
                <c:pt idx="15">
                  <c:v>192375</c:v>
                </c:pt>
                <c:pt idx="16">
                  <c:v>192175</c:v>
                </c:pt>
                <c:pt idx="17">
                  <c:v>192175</c:v>
                </c:pt>
                <c:pt idx="18">
                  <c:v>190950</c:v>
                </c:pt>
                <c:pt idx="19">
                  <c:v>190950</c:v>
                </c:pt>
                <c:pt idx="20">
                  <c:v>190950</c:v>
                </c:pt>
                <c:pt idx="21">
                  <c:v>191225</c:v>
                </c:pt>
                <c:pt idx="22">
                  <c:v>192175</c:v>
                </c:pt>
                <c:pt idx="23">
                  <c:v>193675</c:v>
                </c:pt>
                <c:pt idx="24">
                  <c:v>193475</c:v>
                </c:pt>
                <c:pt idx="25">
                  <c:v>193475</c:v>
                </c:pt>
                <c:pt idx="26">
                  <c:v>193475</c:v>
                </c:pt>
                <c:pt idx="27">
                  <c:v>193475</c:v>
                </c:pt>
                <c:pt idx="28">
                  <c:v>193475</c:v>
                </c:pt>
                <c:pt idx="29">
                  <c:v>193600</c:v>
                </c:pt>
                <c:pt idx="30">
                  <c:v>193825</c:v>
                </c:pt>
                <c:pt idx="31">
                  <c:v>193875</c:v>
                </c:pt>
                <c:pt idx="32">
                  <c:v>193875</c:v>
                </c:pt>
                <c:pt idx="33">
                  <c:v>193875</c:v>
                </c:pt>
                <c:pt idx="34">
                  <c:v>193875</c:v>
                </c:pt>
                <c:pt idx="35">
                  <c:v>193875</c:v>
                </c:pt>
                <c:pt idx="36">
                  <c:v>193625</c:v>
                </c:pt>
                <c:pt idx="37">
                  <c:v>192975</c:v>
                </c:pt>
                <c:pt idx="38">
                  <c:v>192975</c:v>
                </c:pt>
                <c:pt idx="39">
                  <c:v>193275</c:v>
                </c:pt>
                <c:pt idx="40">
                  <c:v>193275</c:v>
                </c:pt>
                <c:pt idx="41">
                  <c:v>193275</c:v>
                </c:pt>
                <c:pt idx="42">
                  <c:v>194775</c:v>
                </c:pt>
                <c:pt idx="43">
                  <c:v>196275</c:v>
                </c:pt>
                <c:pt idx="44">
                  <c:v>198725</c:v>
                </c:pt>
                <c:pt idx="45">
                  <c:v>200400</c:v>
                </c:pt>
                <c:pt idx="46">
                  <c:v>200400</c:v>
                </c:pt>
                <c:pt idx="47">
                  <c:v>200400</c:v>
                </c:pt>
                <c:pt idx="48">
                  <c:v>200400</c:v>
                </c:pt>
                <c:pt idx="49">
                  <c:v>200400</c:v>
                </c:pt>
                <c:pt idx="50">
                  <c:v>202075</c:v>
                </c:pt>
                <c:pt idx="51">
                  <c:v>202300</c:v>
                </c:pt>
                <c:pt idx="52">
                  <c:v>202400</c:v>
                </c:pt>
                <c:pt idx="53">
                  <c:v>202400</c:v>
                </c:pt>
                <c:pt idx="54">
                  <c:v>202400</c:v>
                </c:pt>
                <c:pt idx="55">
                  <c:v>202400</c:v>
                </c:pt>
                <c:pt idx="56">
                  <c:v>202400</c:v>
                </c:pt>
                <c:pt idx="57">
                  <c:v>202400</c:v>
                </c:pt>
                <c:pt idx="58">
                  <c:v>202400</c:v>
                </c:pt>
                <c:pt idx="59">
                  <c:v>202025</c:v>
                </c:pt>
                <c:pt idx="60">
                  <c:v>202025</c:v>
                </c:pt>
                <c:pt idx="61">
                  <c:v>202025</c:v>
                </c:pt>
                <c:pt idx="62">
                  <c:v>202025</c:v>
                </c:pt>
                <c:pt idx="63">
                  <c:v>201650</c:v>
                </c:pt>
                <c:pt idx="64">
                  <c:v>201650</c:v>
                </c:pt>
                <c:pt idx="65">
                  <c:v>201650</c:v>
                </c:pt>
                <c:pt idx="66">
                  <c:v>200325</c:v>
                </c:pt>
                <c:pt idx="67">
                  <c:v>200375</c:v>
                </c:pt>
                <c:pt idx="68">
                  <c:v>200375</c:v>
                </c:pt>
                <c:pt idx="69">
                  <c:v>200375</c:v>
                </c:pt>
                <c:pt idx="70">
                  <c:v>200400</c:v>
                </c:pt>
                <c:pt idx="71">
                  <c:v>200625</c:v>
                </c:pt>
                <c:pt idx="72">
                  <c:v>200700</c:v>
                </c:pt>
                <c:pt idx="73">
                  <c:v>200700</c:v>
                </c:pt>
                <c:pt idx="74">
                  <c:v>200700</c:v>
                </c:pt>
                <c:pt idx="75">
                  <c:v>200700</c:v>
                </c:pt>
                <c:pt idx="76">
                  <c:v>200700</c:v>
                </c:pt>
                <c:pt idx="77">
                  <c:v>200700</c:v>
                </c:pt>
                <c:pt idx="78">
                  <c:v>201050</c:v>
                </c:pt>
                <c:pt idx="79">
                  <c:v>201675</c:v>
                </c:pt>
                <c:pt idx="80">
                  <c:v>202075</c:v>
                </c:pt>
                <c:pt idx="81">
                  <c:v>201850</c:v>
                </c:pt>
                <c:pt idx="82">
                  <c:v>201850</c:v>
                </c:pt>
                <c:pt idx="83">
                  <c:v>201850</c:v>
                </c:pt>
                <c:pt idx="84">
                  <c:v>202400</c:v>
                </c:pt>
                <c:pt idx="85">
                  <c:v>203100</c:v>
                </c:pt>
                <c:pt idx="86">
                  <c:v>203325</c:v>
                </c:pt>
                <c:pt idx="87">
                  <c:v>203800</c:v>
                </c:pt>
                <c:pt idx="88">
                  <c:v>203975</c:v>
                </c:pt>
                <c:pt idx="89">
                  <c:v>203975</c:v>
                </c:pt>
                <c:pt idx="90">
                  <c:v>203975</c:v>
                </c:pt>
                <c:pt idx="91">
                  <c:v>203975</c:v>
                </c:pt>
                <c:pt idx="92">
                  <c:v>202650</c:v>
                </c:pt>
                <c:pt idx="93">
                  <c:v>202775</c:v>
                </c:pt>
                <c:pt idx="94">
                  <c:v>202775</c:v>
                </c:pt>
                <c:pt idx="95">
                  <c:v>202225</c:v>
                </c:pt>
                <c:pt idx="96">
                  <c:v>202225</c:v>
                </c:pt>
                <c:pt idx="97">
                  <c:v>202225</c:v>
                </c:pt>
                <c:pt idx="98">
                  <c:v>202425</c:v>
                </c:pt>
                <c:pt idx="99">
                  <c:v>202575</c:v>
                </c:pt>
                <c:pt idx="100">
                  <c:v>201350</c:v>
                </c:pt>
                <c:pt idx="101">
                  <c:v>201350</c:v>
                </c:pt>
                <c:pt idx="102">
                  <c:v>201350</c:v>
                </c:pt>
                <c:pt idx="103">
                  <c:v>201350</c:v>
                </c:pt>
                <c:pt idx="104">
                  <c:v>201350</c:v>
                </c:pt>
                <c:pt idx="105">
                  <c:v>201275</c:v>
                </c:pt>
                <c:pt idx="106">
                  <c:v>201875</c:v>
                </c:pt>
                <c:pt idx="107">
                  <c:v>202925</c:v>
                </c:pt>
                <c:pt idx="108">
                  <c:v>203425</c:v>
                </c:pt>
                <c:pt idx="109">
                  <c:v>203925</c:v>
                </c:pt>
                <c:pt idx="110">
                  <c:v>203925</c:v>
                </c:pt>
                <c:pt idx="111">
                  <c:v>203925</c:v>
                </c:pt>
                <c:pt idx="112">
                  <c:v>204425</c:v>
                </c:pt>
                <c:pt idx="113">
                  <c:v>204925</c:v>
                </c:pt>
                <c:pt idx="114">
                  <c:v>205425</c:v>
                </c:pt>
                <c:pt idx="115">
                  <c:v>205925</c:v>
                </c:pt>
                <c:pt idx="116">
                  <c:v>206425</c:v>
                </c:pt>
                <c:pt idx="117">
                  <c:v>206425</c:v>
                </c:pt>
                <c:pt idx="118">
                  <c:v>206425</c:v>
                </c:pt>
                <c:pt idx="119">
                  <c:v>206925</c:v>
                </c:pt>
                <c:pt idx="120">
                  <c:v>207425</c:v>
                </c:pt>
                <c:pt idx="121">
                  <c:v>207925</c:v>
                </c:pt>
                <c:pt idx="122">
                  <c:v>208425</c:v>
                </c:pt>
                <c:pt idx="123">
                  <c:v>208475</c:v>
                </c:pt>
                <c:pt idx="124">
                  <c:v>208475</c:v>
                </c:pt>
                <c:pt idx="125">
                  <c:v>208475</c:v>
                </c:pt>
                <c:pt idx="126">
                  <c:v>208975</c:v>
                </c:pt>
                <c:pt idx="127">
                  <c:v>209475</c:v>
                </c:pt>
                <c:pt idx="128">
                  <c:v>209175</c:v>
                </c:pt>
                <c:pt idx="129">
                  <c:v>209675</c:v>
                </c:pt>
                <c:pt idx="130">
                  <c:v>207575</c:v>
                </c:pt>
                <c:pt idx="131">
                  <c:v>207575</c:v>
                </c:pt>
                <c:pt idx="132">
                  <c:v>207575</c:v>
                </c:pt>
                <c:pt idx="133">
                  <c:v>207950</c:v>
                </c:pt>
                <c:pt idx="134">
                  <c:v>208850</c:v>
                </c:pt>
                <c:pt idx="135">
                  <c:v>209450</c:v>
                </c:pt>
                <c:pt idx="136">
                  <c:v>209250</c:v>
                </c:pt>
                <c:pt idx="137">
                  <c:v>209750</c:v>
                </c:pt>
                <c:pt idx="138">
                  <c:v>209750</c:v>
                </c:pt>
                <c:pt idx="139">
                  <c:v>209750</c:v>
                </c:pt>
                <c:pt idx="140">
                  <c:v>211000</c:v>
                </c:pt>
                <c:pt idx="141">
                  <c:v>211500</c:v>
                </c:pt>
                <c:pt idx="142">
                  <c:v>212000</c:v>
                </c:pt>
                <c:pt idx="143">
                  <c:v>212500</c:v>
                </c:pt>
                <c:pt idx="144">
                  <c:v>213000</c:v>
                </c:pt>
                <c:pt idx="145">
                  <c:v>213000</c:v>
                </c:pt>
                <c:pt idx="146">
                  <c:v>213000</c:v>
                </c:pt>
                <c:pt idx="147">
                  <c:v>213500</c:v>
                </c:pt>
                <c:pt idx="148">
                  <c:v>214000</c:v>
                </c:pt>
                <c:pt idx="149">
                  <c:v>214500</c:v>
                </c:pt>
                <c:pt idx="150">
                  <c:v>215000</c:v>
                </c:pt>
                <c:pt idx="151">
                  <c:v>215200</c:v>
                </c:pt>
                <c:pt idx="152">
                  <c:v>215200</c:v>
                </c:pt>
                <c:pt idx="153">
                  <c:v>215200</c:v>
                </c:pt>
                <c:pt idx="154">
                  <c:v>213950</c:v>
                </c:pt>
                <c:pt idx="155">
                  <c:v>214450</c:v>
                </c:pt>
                <c:pt idx="156">
                  <c:v>214450</c:v>
                </c:pt>
                <c:pt idx="157">
                  <c:v>214950</c:v>
                </c:pt>
                <c:pt idx="158">
                  <c:v>214950</c:v>
                </c:pt>
                <c:pt idx="159">
                  <c:v>214950</c:v>
                </c:pt>
                <c:pt idx="160">
                  <c:v>214950</c:v>
                </c:pt>
                <c:pt idx="161">
                  <c:v>215450</c:v>
                </c:pt>
                <c:pt idx="162">
                  <c:v>215450</c:v>
                </c:pt>
                <c:pt idx="163">
                  <c:v>215450</c:v>
                </c:pt>
                <c:pt idx="164">
                  <c:v>216450</c:v>
                </c:pt>
                <c:pt idx="165">
                  <c:v>216950</c:v>
                </c:pt>
                <c:pt idx="166">
                  <c:v>216950</c:v>
                </c:pt>
                <c:pt idx="167">
                  <c:v>216950</c:v>
                </c:pt>
                <c:pt idx="168">
                  <c:v>217475</c:v>
                </c:pt>
                <c:pt idx="169">
                  <c:v>219100</c:v>
                </c:pt>
                <c:pt idx="170">
                  <c:v>220150</c:v>
                </c:pt>
                <c:pt idx="171">
                  <c:v>221175</c:v>
                </c:pt>
                <c:pt idx="172">
                  <c:v>222150</c:v>
                </c:pt>
                <c:pt idx="173">
                  <c:v>222150</c:v>
                </c:pt>
                <c:pt idx="174">
                  <c:v>222150</c:v>
                </c:pt>
                <c:pt idx="175">
                  <c:v>223250</c:v>
                </c:pt>
                <c:pt idx="176">
                  <c:v>224375</c:v>
                </c:pt>
                <c:pt idx="177">
                  <c:v>225950</c:v>
                </c:pt>
                <c:pt idx="178">
                  <c:v>226950</c:v>
                </c:pt>
                <c:pt idx="179">
                  <c:v>227925</c:v>
                </c:pt>
                <c:pt idx="180">
                  <c:v>227925</c:v>
                </c:pt>
                <c:pt idx="181">
                  <c:v>227925</c:v>
                </c:pt>
                <c:pt idx="182">
                  <c:v>228925</c:v>
                </c:pt>
                <c:pt idx="183">
                  <c:v>229450</c:v>
                </c:pt>
                <c:pt idx="184">
                  <c:v>229950</c:v>
                </c:pt>
                <c:pt idx="185">
                  <c:v>230175</c:v>
                </c:pt>
                <c:pt idx="186">
                  <c:v>231375</c:v>
                </c:pt>
                <c:pt idx="187">
                  <c:v>231375</c:v>
                </c:pt>
                <c:pt idx="188">
                  <c:v>231375</c:v>
                </c:pt>
                <c:pt idx="189">
                  <c:v>231875</c:v>
                </c:pt>
                <c:pt idx="190">
                  <c:v>232375</c:v>
                </c:pt>
                <c:pt idx="191">
                  <c:v>232900</c:v>
                </c:pt>
                <c:pt idx="192">
                  <c:v>233625</c:v>
                </c:pt>
                <c:pt idx="193">
                  <c:v>233825</c:v>
                </c:pt>
                <c:pt idx="194">
                  <c:v>233825</c:v>
                </c:pt>
                <c:pt idx="195">
                  <c:v>233825</c:v>
                </c:pt>
                <c:pt idx="196">
                  <c:v>234125</c:v>
                </c:pt>
                <c:pt idx="197">
                  <c:v>234900</c:v>
                </c:pt>
                <c:pt idx="198">
                  <c:v>235425</c:v>
                </c:pt>
                <c:pt idx="199">
                  <c:v>236125</c:v>
                </c:pt>
                <c:pt idx="200">
                  <c:v>236675</c:v>
                </c:pt>
                <c:pt idx="201">
                  <c:v>236675</c:v>
                </c:pt>
                <c:pt idx="202">
                  <c:v>236675</c:v>
                </c:pt>
                <c:pt idx="203">
                  <c:v>236675</c:v>
                </c:pt>
                <c:pt idx="204">
                  <c:v>236675</c:v>
                </c:pt>
                <c:pt idx="205">
                  <c:v>233000</c:v>
                </c:pt>
                <c:pt idx="206">
                  <c:v>233000</c:v>
                </c:pt>
                <c:pt idx="207">
                  <c:v>233000</c:v>
                </c:pt>
                <c:pt idx="208">
                  <c:v>233000</c:v>
                </c:pt>
                <c:pt idx="209">
                  <c:v>233000</c:v>
                </c:pt>
                <c:pt idx="210">
                  <c:v>233150</c:v>
                </c:pt>
                <c:pt idx="211">
                  <c:v>233150</c:v>
                </c:pt>
                <c:pt idx="212">
                  <c:v>233150</c:v>
                </c:pt>
                <c:pt idx="213">
                  <c:v>233150</c:v>
                </c:pt>
                <c:pt idx="214">
                  <c:v>233200</c:v>
                </c:pt>
                <c:pt idx="215">
                  <c:v>233200</c:v>
                </c:pt>
                <c:pt idx="216">
                  <c:v>233200</c:v>
                </c:pt>
                <c:pt idx="217">
                  <c:v>232925</c:v>
                </c:pt>
                <c:pt idx="218">
                  <c:v>232925</c:v>
                </c:pt>
                <c:pt idx="219">
                  <c:v>232925</c:v>
                </c:pt>
                <c:pt idx="220">
                  <c:v>232925</c:v>
                </c:pt>
                <c:pt idx="221">
                  <c:v>231125</c:v>
                </c:pt>
                <c:pt idx="222">
                  <c:v>231125</c:v>
                </c:pt>
                <c:pt idx="223">
                  <c:v>231125</c:v>
                </c:pt>
                <c:pt idx="224">
                  <c:v>232225</c:v>
                </c:pt>
                <c:pt idx="225">
                  <c:v>232425</c:v>
                </c:pt>
                <c:pt idx="226">
                  <c:v>232825</c:v>
                </c:pt>
                <c:pt idx="227">
                  <c:v>232825</c:v>
                </c:pt>
                <c:pt idx="228">
                  <c:v>232825</c:v>
                </c:pt>
                <c:pt idx="229">
                  <c:v>232825</c:v>
                </c:pt>
                <c:pt idx="230">
                  <c:v>232825</c:v>
                </c:pt>
                <c:pt idx="231">
                  <c:v>233025</c:v>
                </c:pt>
                <c:pt idx="232">
                  <c:v>233025</c:v>
                </c:pt>
                <c:pt idx="233">
                  <c:v>233675</c:v>
                </c:pt>
                <c:pt idx="234">
                  <c:v>235675</c:v>
                </c:pt>
                <c:pt idx="235">
                  <c:v>236725</c:v>
                </c:pt>
                <c:pt idx="236">
                  <c:v>236725</c:v>
                </c:pt>
                <c:pt idx="237">
                  <c:v>236725</c:v>
                </c:pt>
                <c:pt idx="238">
                  <c:v>236725</c:v>
                </c:pt>
                <c:pt idx="239">
                  <c:v>236425</c:v>
                </c:pt>
                <c:pt idx="240">
                  <c:v>236800</c:v>
                </c:pt>
                <c:pt idx="241">
                  <c:v>237300</c:v>
                </c:pt>
                <c:pt idx="242">
                  <c:v>237800</c:v>
                </c:pt>
                <c:pt idx="243">
                  <c:v>237800</c:v>
                </c:pt>
                <c:pt idx="244">
                  <c:v>237800</c:v>
                </c:pt>
                <c:pt idx="245">
                  <c:v>238300</c:v>
                </c:pt>
                <c:pt idx="246">
                  <c:v>238850</c:v>
                </c:pt>
                <c:pt idx="247">
                  <c:v>239350</c:v>
                </c:pt>
                <c:pt idx="248">
                  <c:v>239850</c:v>
                </c:pt>
                <c:pt idx="249">
                  <c:v>240600</c:v>
                </c:pt>
                <c:pt idx="250">
                  <c:v>240600</c:v>
                </c:pt>
                <c:pt idx="251">
                  <c:v>240600</c:v>
                </c:pt>
                <c:pt idx="252">
                  <c:v>241725</c:v>
                </c:pt>
                <c:pt idx="253">
                  <c:v>243500</c:v>
                </c:pt>
                <c:pt idx="254">
                  <c:v>244000</c:v>
                </c:pt>
                <c:pt idx="255">
                  <c:v>243550</c:v>
                </c:pt>
                <c:pt idx="256">
                  <c:v>244375</c:v>
                </c:pt>
                <c:pt idx="257">
                  <c:v>244375</c:v>
                </c:pt>
                <c:pt idx="258">
                  <c:v>244375</c:v>
                </c:pt>
                <c:pt idx="259">
                  <c:v>244100</c:v>
                </c:pt>
                <c:pt idx="260">
                  <c:v>245100</c:v>
                </c:pt>
                <c:pt idx="261">
                  <c:v>246100</c:v>
                </c:pt>
                <c:pt idx="262">
                  <c:v>231225</c:v>
                </c:pt>
                <c:pt idx="263">
                  <c:v>231675</c:v>
                </c:pt>
                <c:pt idx="264">
                  <c:v>231675</c:v>
                </c:pt>
                <c:pt idx="265">
                  <c:v>231675</c:v>
                </c:pt>
                <c:pt idx="266">
                  <c:v>182200</c:v>
                </c:pt>
                <c:pt idx="267">
                  <c:v>180425</c:v>
                </c:pt>
                <c:pt idx="268">
                  <c:v>181425</c:v>
                </c:pt>
                <c:pt idx="269">
                  <c:v>182375</c:v>
                </c:pt>
                <c:pt idx="270">
                  <c:v>183400</c:v>
                </c:pt>
                <c:pt idx="271">
                  <c:v>183400</c:v>
                </c:pt>
                <c:pt idx="272">
                  <c:v>183400</c:v>
                </c:pt>
                <c:pt idx="273">
                  <c:v>184450</c:v>
                </c:pt>
                <c:pt idx="274">
                  <c:v>185350</c:v>
                </c:pt>
                <c:pt idx="275">
                  <c:v>184725</c:v>
                </c:pt>
                <c:pt idx="276">
                  <c:v>185150</c:v>
                </c:pt>
                <c:pt idx="277">
                  <c:v>185675</c:v>
                </c:pt>
                <c:pt idx="278">
                  <c:v>185675</c:v>
                </c:pt>
                <c:pt idx="279">
                  <c:v>185675</c:v>
                </c:pt>
                <c:pt idx="280">
                  <c:v>186200</c:v>
                </c:pt>
                <c:pt idx="281">
                  <c:v>185950</c:v>
                </c:pt>
                <c:pt idx="282">
                  <c:v>186525</c:v>
                </c:pt>
                <c:pt idx="283">
                  <c:v>187850</c:v>
                </c:pt>
                <c:pt idx="284">
                  <c:v>187850</c:v>
                </c:pt>
                <c:pt idx="285">
                  <c:v>187850</c:v>
                </c:pt>
                <c:pt idx="286">
                  <c:v>187850</c:v>
                </c:pt>
                <c:pt idx="287">
                  <c:v>186625</c:v>
                </c:pt>
                <c:pt idx="288">
                  <c:v>189600</c:v>
                </c:pt>
                <c:pt idx="289">
                  <c:v>186025</c:v>
                </c:pt>
                <c:pt idx="290">
                  <c:v>189000</c:v>
                </c:pt>
                <c:pt idx="291">
                  <c:v>190925</c:v>
                </c:pt>
                <c:pt idx="292">
                  <c:v>190925</c:v>
                </c:pt>
              </c:numCache>
            </c:numRef>
          </c:val>
        </c:ser>
        <c:ser>
          <c:idx val="2"/>
          <c:order val="1"/>
          <c:tx>
            <c:strRef>
              <c:f>金属库存及仓单工作区!$AA$2</c:f>
              <c:strCache>
                <c:ptCount val="1"/>
                <c:pt idx="0">
                  <c:v>上海铅库存</c:v>
                </c:pt>
              </c:strCache>
            </c:strRef>
          </c:tx>
          <c:spPr>
            <a:ln w="25400">
              <a:noFill/>
            </a:ln>
          </c:spPr>
          <c:cat>
            <c:numRef>
              <c:f>金属库存及仓单工作区!$K$4:$K$296</c:f>
              <c:numCache>
                <c:formatCode>yyyy/m/d</c:formatCode>
                <c:ptCount val="293"/>
                <c:pt idx="0">
                  <c:v>41795</c:v>
                </c:pt>
                <c:pt idx="1">
                  <c:v>41794</c:v>
                </c:pt>
                <c:pt idx="2">
                  <c:v>41793</c:v>
                </c:pt>
                <c:pt idx="3">
                  <c:v>41792</c:v>
                </c:pt>
                <c:pt idx="4">
                  <c:v>41791</c:v>
                </c:pt>
                <c:pt idx="5">
                  <c:v>41790</c:v>
                </c:pt>
                <c:pt idx="6">
                  <c:v>41789</c:v>
                </c:pt>
                <c:pt idx="7">
                  <c:v>41788</c:v>
                </c:pt>
                <c:pt idx="8">
                  <c:v>41787</c:v>
                </c:pt>
                <c:pt idx="9">
                  <c:v>41786</c:v>
                </c:pt>
                <c:pt idx="10">
                  <c:v>41785</c:v>
                </c:pt>
                <c:pt idx="11">
                  <c:v>41784</c:v>
                </c:pt>
                <c:pt idx="12">
                  <c:v>41783</c:v>
                </c:pt>
                <c:pt idx="13">
                  <c:v>41782</c:v>
                </c:pt>
                <c:pt idx="14">
                  <c:v>41781</c:v>
                </c:pt>
                <c:pt idx="15">
                  <c:v>41780</c:v>
                </c:pt>
                <c:pt idx="16">
                  <c:v>41779</c:v>
                </c:pt>
                <c:pt idx="17">
                  <c:v>41778</c:v>
                </c:pt>
                <c:pt idx="18">
                  <c:v>41777</c:v>
                </c:pt>
                <c:pt idx="19">
                  <c:v>41776</c:v>
                </c:pt>
                <c:pt idx="20">
                  <c:v>41775</c:v>
                </c:pt>
                <c:pt idx="21">
                  <c:v>41774</c:v>
                </c:pt>
                <c:pt idx="22">
                  <c:v>41773</c:v>
                </c:pt>
                <c:pt idx="23">
                  <c:v>41772</c:v>
                </c:pt>
                <c:pt idx="24">
                  <c:v>41771</c:v>
                </c:pt>
                <c:pt idx="25">
                  <c:v>41770</c:v>
                </c:pt>
                <c:pt idx="26">
                  <c:v>41769</c:v>
                </c:pt>
                <c:pt idx="27">
                  <c:v>41768</c:v>
                </c:pt>
                <c:pt idx="28">
                  <c:v>41767</c:v>
                </c:pt>
                <c:pt idx="29">
                  <c:v>41766</c:v>
                </c:pt>
                <c:pt idx="30">
                  <c:v>41765</c:v>
                </c:pt>
                <c:pt idx="31">
                  <c:v>41764</c:v>
                </c:pt>
                <c:pt idx="32">
                  <c:v>41763</c:v>
                </c:pt>
                <c:pt idx="33">
                  <c:v>41762</c:v>
                </c:pt>
                <c:pt idx="34">
                  <c:v>41761</c:v>
                </c:pt>
                <c:pt idx="35">
                  <c:v>41760</c:v>
                </c:pt>
                <c:pt idx="36">
                  <c:v>41759</c:v>
                </c:pt>
                <c:pt idx="37">
                  <c:v>41758</c:v>
                </c:pt>
                <c:pt idx="38">
                  <c:v>41757</c:v>
                </c:pt>
                <c:pt idx="39">
                  <c:v>41756</c:v>
                </c:pt>
                <c:pt idx="40">
                  <c:v>41755</c:v>
                </c:pt>
                <c:pt idx="41">
                  <c:v>41754</c:v>
                </c:pt>
                <c:pt idx="42">
                  <c:v>41753</c:v>
                </c:pt>
                <c:pt idx="43">
                  <c:v>41752</c:v>
                </c:pt>
                <c:pt idx="44">
                  <c:v>41751</c:v>
                </c:pt>
                <c:pt idx="45">
                  <c:v>41750</c:v>
                </c:pt>
                <c:pt idx="46">
                  <c:v>41749</c:v>
                </c:pt>
                <c:pt idx="47">
                  <c:v>41748</c:v>
                </c:pt>
                <c:pt idx="48">
                  <c:v>41747</c:v>
                </c:pt>
                <c:pt idx="49">
                  <c:v>41746</c:v>
                </c:pt>
                <c:pt idx="50">
                  <c:v>41745</c:v>
                </c:pt>
                <c:pt idx="51">
                  <c:v>41744</c:v>
                </c:pt>
                <c:pt idx="52">
                  <c:v>41743</c:v>
                </c:pt>
                <c:pt idx="53">
                  <c:v>41742</c:v>
                </c:pt>
                <c:pt idx="54">
                  <c:v>41741</c:v>
                </c:pt>
                <c:pt idx="55">
                  <c:v>41740</c:v>
                </c:pt>
                <c:pt idx="56">
                  <c:v>41739</c:v>
                </c:pt>
                <c:pt idx="57">
                  <c:v>41738</c:v>
                </c:pt>
                <c:pt idx="58">
                  <c:v>41737</c:v>
                </c:pt>
                <c:pt idx="59">
                  <c:v>41736</c:v>
                </c:pt>
                <c:pt idx="60">
                  <c:v>41735</c:v>
                </c:pt>
                <c:pt idx="61">
                  <c:v>41734</c:v>
                </c:pt>
                <c:pt idx="62">
                  <c:v>41733</c:v>
                </c:pt>
                <c:pt idx="63">
                  <c:v>41732</c:v>
                </c:pt>
                <c:pt idx="64">
                  <c:v>41731</c:v>
                </c:pt>
                <c:pt idx="65">
                  <c:v>41730</c:v>
                </c:pt>
                <c:pt idx="66">
                  <c:v>41729</c:v>
                </c:pt>
                <c:pt idx="67">
                  <c:v>41728</c:v>
                </c:pt>
                <c:pt idx="68">
                  <c:v>41727</c:v>
                </c:pt>
                <c:pt idx="69">
                  <c:v>41726</c:v>
                </c:pt>
                <c:pt idx="70">
                  <c:v>41725</c:v>
                </c:pt>
                <c:pt idx="71">
                  <c:v>41724</c:v>
                </c:pt>
                <c:pt idx="72">
                  <c:v>41723</c:v>
                </c:pt>
                <c:pt idx="73">
                  <c:v>41722</c:v>
                </c:pt>
                <c:pt idx="74">
                  <c:v>41721</c:v>
                </c:pt>
                <c:pt idx="75">
                  <c:v>41720</c:v>
                </c:pt>
                <c:pt idx="76">
                  <c:v>41719</c:v>
                </c:pt>
                <c:pt idx="77">
                  <c:v>41718</c:v>
                </c:pt>
                <c:pt idx="78">
                  <c:v>41717</c:v>
                </c:pt>
                <c:pt idx="79">
                  <c:v>41716</c:v>
                </c:pt>
                <c:pt idx="80">
                  <c:v>41715</c:v>
                </c:pt>
                <c:pt idx="81">
                  <c:v>41714</c:v>
                </c:pt>
                <c:pt idx="82">
                  <c:v>41713</c:v>
                </c:pt>
                <c:pt idx="83">
                  <c:v>41712</c:v>
                </c:pt>
                <c:pt idx="84">
                  <c:v>41711</c:v>
                </c:pt>
                <c:pt idx="85">
                  <c:v>41710</c:v>
                </c:pt>
                <c:pt idx="86">
                  <c:v>41709</c:v>
                </c:pt>
                <c:pt idx="87">
                  <c:v>41708</c:v>
                </c:pt>
                <c:pt idx="88">
                  <c:v>41707</c:v>
                </c:pt>
                <c:pt idx="89">
                  <c:v>41706</c:v>
                </c:pt>
                <c:pt idx="90">
                  <c:v>41705</c:v>
                </c:pt>
                <c:pt idx="91">
                  <c:v>41704</c:v>
                </c:pt>
                <c:pt idx="92">
                  <c:v>41703</c:v>
                </c:pt>
                <c:pt idx="93">
                  <c:v>41702</c:v>
                </c:pt>
                <c:pt idx="94">
                  <c:v>41701</c:v>
                </c:pt>
                <c:pt idx="95">
                  <c:v>41700</c:v>
                </c:pt>
                <c:pt idx="96">
                  <c:v>41699</c:v>
                </c:pt>
                <c:pt idx="97">
                  <c:v>41698</c:v>
                </c:pt>
                <c:pt idx="98">
                  <c:v>41697</c:v>
                </c:pt>
                <c:pt idx="99">
                  <c:v>41696</c:v>
                </c:pt>
                <c:pt idx="100">
                  <c:v>41695</c:v>
                </c:pt>
                <c:pt idx="101">
                  <c:v>41694</c:v>
                </c:pt>
                <c:pt idx="102">
                  <c:v>41693</c:v>
                </c:pt>
                <c:pt idx="103">
                  <c:v>41692</c:v>
                </c:pt>
                <c:pt idx="104">
                  <c:v>41691</c:v>
                </c:pt>
                <c:pt idx="105">
                  <c:v>41690</c:v>
                </c:pt>
                <c:pt idx="106">
                  <c:v>41689</c:v>
                </c:pt>
                <c:pt idx="107">
                  <c:v>41688</c:v>
                </c:pt>
                <c:pt idx="108">
                  <c:v>41687</c:v>
                </c:pt>
                <c:pt idx="109">
                  <c:v>41686</c:v>
                </c:pt>
                <c:pt idx="110">
                  <c:v>41685</c:v>
                </c:pt>
                <c:pt idx="111">
                  <c:v>41684</c:v>
                </c:pt>
                <c:pt idx="112">
                  <c:v>41683</c:v>
                </c:pt>
                <c:pt idx="113">
                  <c:v>41682</c:v>
                </c:pt>
                <c:pt idx="114">
                  <c:v>41681</c:v>
                </c:pt>
                <c:pt idx="115">
                  <c:v>41680</c:v>
                </c:pt>
                <c:pt idx="116">
                  <c:v>41679</c:v>
                </c:pt>
                <c:pt idx="117">
                  <c:v>41678</c:v>
                </c:pt>
                <c:pt idx="118">
                  <c:v>41677</c:v>
                </c:pt>
                <c:pt idx="119">
                  <c:v>41676</c:v>
                </c:pt>
                <c:pt idx="120">
                  <c:v>41675</c:v>
                </c:pt>
                <c:pt idx="121">
                  <c:v>41674</c:v>
                </c:pt>
                <c:pt idx="122">
                  <c:v>41673</c:v>
                </c:pt>
                <c:pt idx="123">
                  <c:v>41672</c:v>
                </c:pt>
                <c:pt idx="124">
                  <c:v>41671</c:v>
                </c:pt>
                <c:pt idx="125">
                  <c:v>41670</c:v>
                </c:pt>
                <c:pt idx="126">
                  <c:v>41669</c:v>
                </c:pt>
                <c:pt idx="127">
                  <c:v>41668</c:v>
                </c:pt>
                <c:pt idx="128">
                  <c:v>41667</c:v>
                </c:pt>
                <c:pt idx="129">
                  <c:v>41666</c:v>
                </c:pt>
                <c:pt idx="130">
                  <c:v>41665</c:v>
                </c:pt>
                <c:pt idx="131">
                  <c:v>41664</c:v>
                </c:pt>
                <c:pt idx="132">
                  <c:v>41663</c:v>
                </c:pt>
                <c:pt idx="133">
                  <c:v>41662</c:v>
                </c:pt>
                <c:pt idx="134">
                  <c:v>41661</c:v>
                </c:pt>
                <c:pt idx="135">
                  <c:v>41660</c:v>
                </c:pt>
                <c:pt idx="136">
                  <c:v>41659</c:v>
                </c:pt>
                <c:pt idx="137">
                  <c:v>41658</c:v>
                </c:pt>
                <c:pt idx="138">
                  <c:v>41657</c:v>
                </c:pt>
                <c:pt idx="139">
                  <c:v>41656</c:v>
                </c:pt>
                <c:pt idx="140">
                  <c:v>41655</c:v>
                </c:pt>
                <c:pt idx="141">
                  <c:v>41654</c:v>
                </c:pt>
                <c:pt idx="142">
                  <c:v>41653</c:v>
                </c:pt>
                <c:pt idx="143">
                  <c:v>41652</c:v>
                </c:pt>
                <c:pt idx="144">
                  <c:v>41651</c:v>
                </c:pt>
                <c:pt idx="145">
                  <c:v>41650</c:v>
                </c:pt>
                <c:pt idx="146">
                  <c:v>41649</c:v>
                </c:pt>
                <c:pt idx="147">
                  <c:v>41648</c:v>
                </c:pt>
                <c:pt idx="148">
                  <c:v>41647</c:v>
                </c:pt>
                <c:pt idx="149">
                  <c:v>41646</c:v>
                </c:pt>
                <c:pt idx="150">
                  <c:v>41645</c:v>
                </c:pt>
                <c:pt idx="151">
                  <c:v>41644</c:v>
                </c:pt>
                <c:pt idx="152">
                  <c:v>41643</c:v>
                </c:pt>
                <c:pt idx="153">
                  <c:v>41642</c:v>
                </c:pt>
                <c:pt idx="154">
                  <c:v>41641</c:v>
                </c:pt>
                <c:pt idx="155">
                  <c:v>41640</c:v>
                </c:pt>
                <c:pt idx="156">
                  <c:v>41639</c:v>
                </c:pt>
                <c:pt idx="157">
                  <c:v>41638</c:v>
                </c:pt>
                <c:pt idx="158">
                  <c:v>41637</c:v>
                </c:pt>
                <c:pt idx="159">
                  <c:v>41636</c:v>
                </c:pt>
                <c:pt idx="160">
                  <c:v>41635</c:v>
                </c:pt>
                <c:pt idx="161">
                  <c:v>41634</c:v>
                </c:pt>
                <c:pt idx="162">
                  <c:v>41633</c:v>
                </c:pt>
                <c:pt idx="163">
                  <c:v>41632</c:v>
                </c:pt>
                <c:pt idx="164">
                  <c:v>41631</c:v>
                </c:pt>
                <c:pt idx="165">
                  <c:v>41630</c:v>
                </c:pt>
                <c:pt idx="166">
                  <c:v>41629</c:v>
                </c:pt>
                <c:pt idx="167">
                  <c:v>41628</c:v>
                </c:pt>
                <c:pt idx="168">
                  <c:v>41627</c:v>
                </c:pt>
                <c:pt idx="169">
                  <c:v>41626</c:v>
                </c:pt>
                <c:pt idx="170">
                  <c:v>41625</c:v>
                </c:pt>
                <c:pt idx="171">
                  <c:v>41624</c:v>
                </c:pt>
                <c:pt idx="172">
                  <c:v>41623</c:v>
                </c:pt>
                <c:pt idx="173">
                  <c:v>41622</c:v>
                </c:pt>
                <c:pt idx="174">
                  <c:v>41621</c:v>
                </c:pt>
                <c:pt idx="175">
                  <c:v>41620</c:v>
                </c:pt>
                <c:pt idx="176">
                  <c:v>41619</c:v>
                </c:pt>
                <c:pt idx="177">
                  <c:v>41618</c:v>
                </c:pt>
                <c:pt idx="178">
                  <c:v>41617</c:v>
                </c:pt>
                <c:pt idx="179">
                  <c:v>41616</c:v>
                </c:pt>
                <c:pt idx="180">
                  <c:v>41615</c:v>
                </c:pt>
                <c:pt idx="181">
                  <c:v>41614</c:v>
                </c:pt>
                <c:pt idx="182">
                  <c:v>41613</c:v>
                </c:pt>
                <c:pt idx="183">
                  <c:v>41612</c:v>
                </c:pt>
                <c:pt idx="184">
                  <c:v>41611</c:v>
                </c:pt>
                <c:pt idx="185">
                  <c:v>41610</c:v>
                </c:pt>
                <c:pt idx="186">
                  <c:v>41609</c:v>
                </c:pt>
                <c:pt idx="187">
                  <c:v>41608</c:v>
                </c:pt>
                <c:pt idx="188">
                  <c:v>41607</c:v>
                </c:pt>
                <c:pt idx="189">
                  <c:v>41606</c:v>
                </c:pt>
                <c:pt idx="190">
                  <c:v>41605</c:v>
                </c:pt>
                <c:pt idx="191">
                  <c:v>41604</c:v>
                </c:pt>
                <c:pt idx="192">
                  <c:v>41603</c:v>
                </c:pt>
                <c:pt idx="193">
                  <c:v>41602</c:v>
                </c:pt>
                <c:pt idx="194">
                  <c:v>41601</c:v>
                </c:pt>
                <c:pt idx="195">
                  <c:v>41600</c:v>
                </c:pt>
                <c:pt idx="196">
                  <c:v>41599</c:v>
                </c:pt>
                <c:pt idx="197">
                  <c:v>41598</c:v>
                </c:pt>
                <c:pt idx="198">
                  <c:v>41597</c:v>
                </c:pt>
                <c:pt idx="199">
                  <c:v>41596</c:v>
                </c:pt>
                <c:pt idx="200">
                  <c:v>41595</c:v>
                </c:pt>
                <c:pt idx="201">
                  <c:v>41594</c:v>
                </c:pt>
                <c:pt idx="202">
                  <c:v>41593</c:v>
                </c:pt>
                <c:pt idx="203">
                  <c:v>41592</c:v>
                </c:pt>
                <c:pt idx="204">
                  <c:v>41591</c:v>
                </c:pt>
                <c:pt idx="205">
                  <c:v>41590</c:v>
                </c:pt>
                <c:pt idx="206">
                  <c:v>41589</c:v>
                </c:pt>
                <c:pt idx="207">
                  <c:v>41588</c:v>
                </c:pt>
                <c:pt idx="208">
                  <c:v>41587</c:v>
                </c:pt>
                <c:pt idx="209">
                  <c:v>41586</c:v>
                </c:pt>
                <c:pt idx="210">
                  <c:v>41585</c:v>
                </c:pt>
                <c:pt idx="211">
                  <c:v>41584</c:v>
                </c:pt>
                <c:pt idx="212">
                  <c:v>41583</c:v>
                </c:pt>
                <c:pt idx="213">
                  <c:v>41582</c:v>
                </c:pt>
                <c:pt idx="214">
                  <c:v>41581</c:v>
                </c:pt>
                <c:pt idx="215">
                  <c:v>41580</c:v>
                </c:pt>
                <c:pt idx="216">
                  <c:v>41579</c:v>
                </c:pt>
                <c:pt idx="217">
                  <c:v>41578</c:v>
                </c:pt>
                <c:pt idx="218">
                  <c:v>41577</c:v>
                </c:pt>
                <c:pt idx="219">
                  <c:v>41576</c:v>
                </c:pt>
                <c:pt idx="220">
                  <c:v>41575</c:v>
                </c:pt>
                <c:pt idx="221">
                  <c:v>41574</c:v>
                </c:pt>
                <c:pt idx="222">
                  <c:v>41573</c:v>
                </c:pt>
                <c:pt idx="223">
                  <c:v>41572</c:v>
                </c:pt>
                <c:pt idx="224">
                  <c:v>41571</c:v>
                </c:pt>
                <c:pt idx="225">
                  <c:v>41570</c:v>
                </c:pt>
                <c:pt idx="226">
                  <c:v>41569</c:v>
                </c:pt>
                <c:pt idx="227">
                  <c:v>41568</c:v>
                </c:pt>
                <c:pt idx="228">
                  <c:v>41567</c:v>
                </c:pt>
                <c:pt idx="229">
                  <c:v>41566</c:v>
                </c:pt>
                <c:pt idx="230">
                  <c:v>41565</c:v>
                </c:pt>
                <c:pt idx="231">
                  <c:v>41564</c:v>
                </c:pt>
                <c:pt idx="232">
                  <c:v>41563</c:v>
                </c:pt>
                <c:pt idx="233">
                  <c:v>41562</c:v>
                </c:pt>
                <c:pt idx="234">
                  <c:v>41561</c:v>
                </c:pt>
                <c:pt idx="235">
                  <c:v>41560</c:v>
                </c:pt>
                <c:pt idx="236">
                  <c:v>41559</c:v>
                </c:pt>
                <c:pt idx="237">
                  <c:v>41558</c:v>
                </c:pt>
                <c:pt idx="238">
                  <c:v>41557</c:v>
                </c:pt>
                <c:pt idx="239">
                  <c:v>41556</c:v>
                </c:pt>
                <c:pt idx="240">
                  <c:v>41555</c:v>
                </c:pt>
                <c:pt idx="241">
                  <c:v>41554</c:v>
                </c:pt>
                <c:pt idx="242">
                  <c:v>41553</c:v>
                </c:pt>
                <c:pt idx="243">
                  <c:v>41552</c:v>
                </c:pt>
                <c:pt idx="244">
                  <c:v>41551</c:v>
                </c:pt>
                <c:pt idx="245">
                  <c:v>41550</c:v>
                </c:pt>
                <c:pt idx="246">
                  <c:v>41549</c:v>
                </c:pt>
                <c:pt idx="247">
                  <c:v>41548</c:v>
                </c:pt>
                <c:pt idx="248">
                  <c:v>41547</c:v>
                </c:pt>
                <c:pt idx="249">
                  <c:v>41546</c:v>
                </c:pt>
                <c:pt idx="250">
                  <c:v>41545</c:v>
                </c:pt>
                <c:pt idx="251">
                  <c:v>41544</c:v>
                </c:pt>
                <c:pt idx="252">
                  <c:v>41543</c:v>
                </c:pt>
                <c:pt idx="253">
                  <c:v>41542</c:v>
                </c:pt>
                <c:pt idx="254">
                  <c:v>41541</c:v>
                </c:pt>
                <c:pt idx="255">
                  <c:v>41540</c:v>
                </c:pt>
                <c:pt idx="256">
                  <c:v>41539</c:v>
                </c:pt>
                <c:pt idx="257">
                  <c:v>41538</c:v>
                </c:pt>
                <c:pt idx="258">
                  <c:v>41537</c:v>
                </c:pt>
                <c:pt idx="259">
                  <c:v>41536</c:v>
                </c:pt>
                <c:pt idx="260">
                  <c:v>41535</c:v>
                </c:pt>
                <c:pt idx="261">
                  <c:v>41534</c:v>
                </c:pt>
                <c:pt idx="262">
                  <c:v>41533</c:v>
                </c:pt>
                <c:pt idx="263">
                  <c:v>41532</c:v>
                </c:pt>
                <c:pt idx="264">
                  <c:v>41531</c:v>
                </c:pt>
                <c:pt idx="265">
                  <c:v>41530</c:v>
                </c:pt>
                <c:pt idx="266">
                  <c:v>41529</c:v>
                </c:pt>
                <c:pt idx="267">
                  <c:v>41528</c:v>
                </c:pt>
                <c:pt idx="268">
                  <c:v>41527</c:v>
                </c:pt>
                <c:pt idx="269">
                  <c:v>41526</c:v>
                </c:pt>
                <c:pt idx="270">
                  <c:v>41525</c:v>
                </c:pt>
                <c:pt idx="271">
                  <c:v>41524</c:v>
                </c:pt>
                <c:pt idx="272">
                  <c:v>41523</c:v>
                </c:pt>
                <c:pt idx="273">
                  <c:v>41522</c:v>
                </c:pt>
                <c:pt idx="274">
                  <c:v>41521</c:v>
                </c:pt>
                <c:pt idx="275">
                  <c:v>41520</c:v>
                </c:pt>
                <c:pt idx="276">
                  <c:v>41519</c:v>
                </c:pt>
                <c:pt idx="277">
                  <c:v>41518</c:v>
                </c:pt>
                <c:pt idx="278">
                  <c:v>41517</c:v>
                </c:pt>
                <c:pt idx="279">
                  <c:v>41516</c:v>
                </c:pt>
                <c:pt idx="280">
                  <c:v>41515</c:v>
                </c:pt>
                <c:pt idx="281">
                  <c:v>41514</c:v>
                </c:pt>
                <c:pt idx="282">
                  <c:v>41513</c:v>
                </c:pt>
                <c:pt idx="283">
                  <c:v>41512</c:v>
                </c:pt>
                <c:pt idx="284">
                  <c:v>41511</c:v>
                </c:pt>
                <c:pt idx="285">
                  <c:v>41510</c:v>
                </c:pt>
                <c:pt idx="286">
                  <c:v>41509</c:v>
                </c:pt>
                <c:pt idx="287">
                  <c:v>41508</c:v>
                </c:pt>
                <c:pt idx="288">
                  <c:v>41507</c:v>
                </c:pt>
                <c:pt idx="289">
                  <c:v>41506</c:v>
                </c:pt>
                <c:pt idx="290">
                  <c:v>41505</c:v>
                </c:pt>
                <c:pt idx="291">
                  <c:v>41504</c:v>
                </c:pt>
                <c:pt idx="292">
                  <c:v>41503</c:v>
                </c:pt>
              </c:numCache>
            </c:numRef>
          </c:cat>
          <c:val>
            <c:numRef>
              <c:f>金属库存及仓单工作区!$AA$4:$AA$296</c:f>
              <c:numCache>
                <c:formatCode>0_);[Red]\(0\)</c:formatCode>
                <c:ptCount val="293"/>
                <c:pt idx="0">
                  <c:v>70821</c:v>
                </c:pt>
                <c:pt idx="1">
                  <c:v>70821</c:v>
                </c:pt>
                <c:pt idx="2">
                  <c:v>70821</c:v>
                </c:pt>
                <c:pt idx="3">
                  <c:v>70821</c:v>
                </c:pt>
                <c:pt idx="4">
                  <c:v>70821</c:v>
                </c:pt>
                <c:pt idx="5">
                  <c:v>70821</c:v>
                </c:pt>
                <c:pt idx="6">
                  <c:v>70821</c:v>
                </c:pt>
                <c:pt idx="7">
                  <c:v>70821</c:v>
                </c:pt>
                <c:pt idx="8">
                  <c:v>71261</c:v>
                </c:pt>
                <c:pt idx="9">
                  <c:v>71261</c:v>
                </c:pt>
                <c:pt idx="10">
                  <c:v>71261</c:v>
                </c:pt>
                <c:pt idx="11">
                  <c:v>71261</c:v>
                </c:pt>
                <c:pt idx="12">
                  <c:v>71261</c:v>
                </c:pt>
                <c:pt idx="13">
                  <c:v>71261</c:v>
                </c:pt>
                <c:pt idx="14">
                  <c:v>71261</c:v>
                </c:pt>
                <c:pt idx="15">
                  <c:v>76017</c:v>
                </c:pt>
                <c:pt idx="16">
                  <c:v>76017</c:v>
                </c:pt>
                <c:pt idx="17">
                  <c:v>76017</c:v>
                </c:pt>
                <c:pt idx="18">
                  <c:v>76017</c:v>
                </c:pt>
                <c:pt idx="19">
                  <c:v>76017</c:v>
                </c:pt>
                <c:pt idx="20">
                  <c:v>76017</c:v>
                </c:pt>
                <c:pt idx="21">
                  <c:v>76017</c:v>
                </c:pt>
                <c:pt idx="22">
                  <c:v>76457</c:v>
                </c:pt>
                <c:pt idx="23">
                  <c:v>76457</c:v>
                </c:pt>
                <c:pt idx="24">
                  <c:v>76457</c:v>
                </c:pt>
                <c:pt idx="25">
                  <c:v>76457</c:v>
                </c:pt>
                <c:pt idx="26">
                  <c:v>76457</c:v>
                </c:pt>
                <c:pt idx="27">
                  <c:v>76457</c:v>
                </c:pt>
                <c:pt idx="28">
                  <c:v>76457</c:v>
                </c:pt>
                <c:pt idx="29">
                  <c:v>76289</c:v>
                </c:pt>
                <c:pt idx="30">
                  <c:v>76289</c:v>
                </c:pt>
                <c:pt idx="31">
                  <c:v>76289</c:v>
                </c:pt>
                <c:pt idx="32">
                  <c:v>76289</c:v>
                </c:pt>
                <c:pt idx="33">
                  <c:v>76289</c:v>
                </c:pt>
                <c:pt idx="34">
                  <c:v>76289</c:v>
                </c:pt>
                <c:pt idx="35">
                  <c:v>76289</c:v>
                </c:pt>
                <c:pt idx="36">
                  <c:v>76738</c:v>
                </c:pt>
                <c:pt idx="37">
                  <c:v>76738</c:v>
                </c:pt>
                <c:pt idx="38">
                  <c:v>76738</c:v>
                </c:pt>
                <c:pt idx="39">
                  <c:v>76738</c:v>
                </c:pt>
                <c:pt idx="40">
                  <c:v>76738</c:v>
                </c:pt>
                <c:pt idx="41">
                  <c:v>76738</c:v>
                </c:pt>
                <c:pt idx="42">
                  <c:v>76738</c:v>
                </c:pt>
                <c:pt idx="43">
                  <c:v>77848</c:v>
                </c:pt>
                <c:pt idx="44">
                  <c:v>77848</c:v>
                </c:pt>
                <c:pt idx="45">
                  <c:v>77848</c:v>
                </c:pt>
                <c:pt idx="46">
                  <c:v>77848</c:v>
                </c:pt>
                <c:pt idx="47">
                  <c:v>77848</c:v>
                </c:pt>
                <c:pt idx="48">
                  <c:v>77848</c:v>
                </c:pt>
                <c:pt idx="49">
                  <c:v>77848</c:v>
                </c:pt>
                <c:pt idx="50">
                  <c:v>78263</c:v>
                </c:pt>
                <c:pt idx="51">
                  <c:v>78263</c:v>
                </c:pt>
                <c:pt idx="52">
                  <c:v>78263</c:v>
                </c:pt>
                <c:pt idx="53">
                  <c:v>78263</c:v>
                </c:pt>
                <c:pt idx="54">
                  <c:v>78263</c:v>
                </c:pt>
                <c:pt idx="55">
                  <c:v>78263</c:v>
                </c:pt>
                <c:pt idx="56">
                  <c:v>78263</c:v>
                </c:pt>
                <c:pt idx="57">
                  <c:v>80303</c:v>
                </c:pt>
                <c:pt idx="58">
                  <c:v>80303</c:v>
                </c:pt>
                <c:pt idx="59">
                  <c:v>80303</c:v>
                </c:pt>
                <c:pt idx="60">
                  <c:v>80303</c:v>
                </c:pt>
                <c:pt idx="61">
                  <c:v>80303</c:v>
                </c:pt>
                <c:pt idx="62">
                  <c:v>80303</c:v>
                </c:pt>
                <c:pt idx="63">
                  <c:v>80303</c:v>
                </c:pt>
                <c:pt idx="64">
                  <c:v>80422</c:v>
                </c:pt>
                <c:pt idx="65">
                  <c:v>80422</c:v>
                </c:pt>
                <c:pt idx="66">
                  <c:v>80422</c:v>
                </c:pt>
                <c:pt idx="67">
                  <c:v>80422</c:v>
                </c:pt>
                <c:pt idx="68">
                  <c:v>80422</c:v>
                </c:pt>
                <c:pt idx="69">
                  <c:v>80422</c:v>
                </c:pt>
                <c:pt idx="70">
                  <c:v>80422</c:v>
                </c:pt>
                <c:pt idx="71">
                  <c:v>80937</c:v>
                </c:pt>
                <c:pt idx="72">
                  <c:v>80937</c:v>
                </c:pt>
                <c:pt idx="73">
                  <c:v>80937</c:v>
                </c:pt>
                <c:pt idx="74">
                  <c:v>80937</c:v>
                </c:pt>
                <c:pt idx="75">
                  <c:v>80937</c:v>
                </c:pt>
                <c:pt idx="76">
                  <c:v>80937</c:v>
                </c:pt>
                <c:pt idx="77">
                  <c:v>80937</c:v>
                </c:pt>
                <c:pt idx="78">
                  <c:v>83033</c:v>
                </c:pt>
                <c:pt idx="79">
                  <c:v>83033</c:v>
                </c:pt>
                <c:pt idx="80">
                  <c:v>83033</c:v>
                </c:pt>
                <c:pt idx="81">
                  <c:v>83033</c:v>
                </c:pt>
                <c:pt idx="82">
                  <c:v>83033</c:v>
                </c:pt>
                <c:pt idx="83">
                  <c:v>83033</c:v>
                </c:pt>
                <c:pt idx="84">
                  <c:v>83033</c:v>
                </c:pt>
                <c:pt idx="85">
                  <c:v>84312</c:v>
                </c:pt>
                <c:pt idx="86">
                  <c:v>84312</c:v>
                </c:pt>
                <c:pt idx="87">
                  <c:v>84312</c:v>
                </c:pt>
                <c:pt idx="88">
                  <c:v>84312</c:v>
                </c:pt>
                <c:pt idx="89">
                  <c:v>84312</c:v>
                </c:pt>
                <c:pt idx="90">
                  <c:v>84312</c:v>
                </c:pt>
                <c:pt idx="91">
                  <c:v>84312</c:v>
                </c:pt>
                <c:pt idx="92">
                  <c:v>86188</c:v>
                </c:pt>
                <c:pt idx="93">
                  <c:v>86188</c:v>
                </c:pt>
                <c:pt idx="94">
                  <c:v>86188</c:v>
                </c:pt>
                <c:pt idx="95">
                  <c:v>86188</c:v>
                </c:pt>
                <c:pt idx="96">
                  <c:v>86188</c:v>
                </c:pt>
                <c:pt idx="97">
                  <c:v>86188</c:v>
                </c:pt>
                <c:pt idx="98">
                  <c:v>86188</c:v>
                </c:pt>
                <c:pt idx="99">
                  <c:v>86593</c:v>
                </c:pt>
                <c:pt idx="100">
                  <c:v>86593</c:v>
                </c:pt>
                <c:pt idx="101">
                  <c:v>86593</c:v>
                </c:pt>
                <c:pt idx="102">
                  <c:v>86593</c:v>
                </c:pt>
                <c:pt idx="103">
                  <c:v>86593</c:v>
                </c:pt>
                <c:pt idx="104">
                  <c:v>86593</c:v>
                </c:pt>
                <c:pt idx="105">
                  <c:v>86593</c:v>
                </c:pt>
                <c:pt idx="106">
                  <c:v>87366</c:v>
                </c:pt>
                <c:pt idx="107">
                  <c:v>87366</c:v>
                </c:pt>
                <c:pt idx="108">
                  <c:v>87366</c:v>
                </c:pt>
                <c:pt idx="109">
                  <c:v>87366</c:v>
                </c:pt>
                <c:pt idx="110">
                  <c:v>87366</c:v>
                </c:pt>
                <c:pt idx="111">
                  <c:v>87366</c:v>
                </c:pt>
                <c:pt idx="112">
                  <c:v>87366</c:v>
                </c:pt>
                <c:pt idx="113">
                  <c:v>87529</c:v>
                </c:pt>
                <c:pt idx="114">
                  <c:v>87529</c:v>
                </c:pt>
                <c:pt idx="115">
                  <c:v>87529</c:v>
                </c:pt>
                <c:pt idx="116">
                  <c:v>87529</c:v>
                </c:pt>
                <c:pt idx="117">
                  <c:v>87529</c:v>
                </c:pt>
                <c:pt idx="118">
                  <c:v>87529</c:v>
                </c:pt>
                <c:pt idx="119">
                  <c:v>87529</c:v>
                </c:pt>
                <c:pt idx="120">
                  <c:v>87352</c:v>
                </c:pt>
                <c:pt idx="121">
                  <c:v>87352</c:v>
                </c:pt>
                <c:pt idx="122">
                  <c:v>87352</c:v>
                </c:pt>
                <c:pt idx="123">
                  <c:v>87352</c:v>
                </c:pt>
                <c:pt idx="124">
                  <c:v>87352</c:v>
                </c:pt>
                <c:pt idx="125">
                  <c:v>87352</c:v>
                </c:pt>
                <c:pt idx="126">
                  <c:v>87352</c:v>
                </c:pt>
                <c:pt idx="127">
                  <c:v>87122</c:v>
                </c:pt>
                <c:pt idx="128">
                  <c:v>87122</c:v>
                </c:pt>
                <c:pt idx="129">
                  <c:v>87122</c:v>
                </c:pt>
                <c:pt idx="130">
                  <c:v>87122</c:v>
                </c:pt>
                <c:pt idx="131">
                  <c:v>87122</c:v>
                </c:pt>
                <c:pt idx="132">
                  <c:v>87122</c:v>
                </c:pt>
                <c:pt idx="133">
                  <c:v>87122</c:v>
                </c:pt>
                <c:pt idx="134">
                  <c:v>89741</c:v>
                </c:pt>
                <c:pt idx="135">
                  <c:v>89741</c:v>
                </c:pt>
                <c:pt idx="136">
                  <c:v>89741</c:v>
                </c:pt>
                <c:pt idx="137">
                  <c:v>89741</c:v>
                </c:pt>
                <c:pt idx="138">
                  <c:v>89741</c:v>
                </c:pt>
                <c:pt idx="139">
                  <c:v>89741</c:v>
                </c:pt>
                <c:pt idx="140">
                  <c:v>89741</c:v>
                </c:pt>
                <c:pt idx="141">
                  <c:v>90391</c:v>
                </c:pt>
                <c:pt idx="142">
                  <c:v>90391</c:v>
                </c:pt>
                <c:pt idx="143">
                  <c:v>90391</c:v>
                </c:pt>
                <c:pt idx="144">
                  <c:v>90391</c:v>
                </c:pt>
                <c:pt idx="145">
                  <c:v>90391</c:v>
                </c:pt>
                <c:pt idx="146">
                  <c:v>90391</c:v>
                </c:pt>
                <c:pt idx="147">
                  <c:v>90391</c:v>
                </c:pt>
                <c:pt idx="148">
                  <c:v>89707</c:v>
                </c:pt>
                <c:pt idx="149">
                  <c:v>89707</c:v>
                </c:pt>
                <c:pt idx="150">
                  <c:v>89707</c:v>
                </c:pt>
                <c:pt idx="151">
                  <c:v>89707</c:v>
                </c:pt>
                <c:pt idx="152">
                  <c:v>89707</c:v>
                </c:pt>
                <c:pt idx="153">
                  <c:v>89707</c:v>
                </c:pt>
                <c:pt idx="154">
                  <c:v>89707</c:v>
                </c:pt>
                <c:pt idx="155">
                  <c:v>90209</c:v>
                </c:pt>
                <c:pt idx="156">
                  <c:v>90209</c:v>
                </c:pt>
                <c:pt idx="157">
                  <c:v>90209</c:v>
                </c:pt>
                <c:pt idx="158">
                  <c:v>90209</c:v>
                </c:pt>
                <c:pt idx="159">
                  <c:v>90209</c:v>
                </c:pt>
                <c:pt idx="160">
                  <c:v>90209</c:v>
                </c:pt>
                <c:pt idx="161">
                  <c:v>90209</c:v>
                </c:pt>
                <c:pt idx="162">
                  <c:v>89560</c:v>
                </c:pt>
                <c:pt idx="163">
                  <c:v>89560</c:v>
                </c:pt>
                <c:pt idx="164">
                  <c:v>89560</c:v>
                </c:pt>
                <c:pt idx="165">
                  <c:v>89560</c:v>
                </c:pt>
                <c:pt idx="166">
                  <c:v>89560</c:v>
                </c:pt>
                <c:pt idx="167">
                  <c:v>89560</c:v>
                </c:pt>
                <c:pt idx="168">
                  <c:v>89560</c:v>
                </c:pt>
                <c:pt idx="169">
                  <c:v>89191</c:v>
                </c:pt>
                <c:pt idx="170">
                  <c:v>89191</c:v>
                </c:pt>
                <c:pt idx="171">
                  <c:v>89191</c:v>
                </c:pt>
                <c:pt idx="172">
                  <c:v>89191</c:v>
                </c:pt>
                <c:pt idx="173">
                  <c:v>89191</c:v>
                </c:pt>
                <c:pt idx="174">
                  <c:v>89191</c:v>
                </c:pt>
                <c:pt idx="175">
                  <c:v>89191</c:v>
                </c:pt>
                <c:pt idx="176">
                  <c:v>88626</c:v>
                </c:pt>
                <c:pt idx="177">
                  <c:v>88626</c:v>
                </c:pt>
                <c:pt idx="178">
                  <c:v>88626</c:v>
                </c:pt>
                <c:pt idx="179">
                  <c:v>88626</c:v>
                </c:pt>
                <c:pt idx="180">
                  <c:v>88626</c:v>
                </c:pt>
                <c:pt idx="181">
                  <c:v>88626</c:v>
                </c:pt>
                <c:pt idx="182">
                  <c:v>88626</c:v>
                </c:pt>
                <c:pt idx="183">
                  <c:v>87867</c:v>
                </c:pt>
                <c:pt idx="184">
                  <c:v>87867</c:v>
                </c:pt>
                <c:pt idx="185">
                  <c:v>87867</c:v>
                </c:pt>
                <c:pt idx="186">
                  <c:v>87867</c:v>
                </c:pt>
                <c:pt idx="187">
                  <c:v>87867</c:v>
                </c:pt>
                <c:pt idx="188">
                  <c:v>87867</c:v>
                </c:pt>
                <c:pt idx="189">
                  <c:v>87867</c:v>
                </c:pt>
                <c:pt idx="190">
                  <c:v>88482</c:v>
                </c:pt>
                <c:pt idx="191">
                  <c:v>88482</c:v>
                </c:pt>
                <c:pt idx="192">
                  <c:v>88482</c:v>
                </c:pt>
                <c:pt idx="193">
                  <c:v>88482</c:v>
                </c:pt>
                <c:pt idx="194">
                  <c:v>88482</c:v>
                </c:pt>
                <c:pt idx="195">
                  <c:v>88482</c:v>
                </c:pt>
                <c:pt idx="196">
                  <c:v>88482</c:v>
                </c:pt>
                <c:pt idx="197">
                  <c:v>87395</c:v>
                </c:pt>
                <c:pt idx="198">
                  <c:v>87395</c:v>
                </c:pt>
                <c:pt idx="199">
                  <c:v>87395</c:v>
                </c:pt>
                <c:pt idx="200">
                  <c:v>87395</c:v>
                </c:pt>
                <c:pt idx="201">
                  <c:v>87395</c:v>
                </c:pt>
                <c:pt idx="202">
                  <c:v>87395</c:v>
                </c:pt>
                <c:pt idx="203">
                  <c:v>87395</c:v>
                </c:pt>
                <c:pt idx="204">
                  <c:v>87079</c:v>
                </c:pt>
                <c:pt idx="205">
                  <c:v>87079</c:v>
                </c:pt>
                <c:pt idx="206">
                  <c:v>87079</c:v>
                </c:pt>
                <c:pt idx="207">
                  <c:v>87079</c:v>
                </c:pt>
                <c:pt idx="208">
                  <c:v>87079</c:v>
                </c:pt>
                <c:pt idx="209">
                  <c:v>87079</c:v>
                </c:pt>
                <c:pt idx="210">
                  <c:v>87079</c:v>
                </c:pt>
                <c:pt idx="211">
                  <c:v>86586</c:v>
                </c:pt>
                <c:pt idx="212">
                  <c:v>86586</c:v>
                </c:pt>
                <c:pt idx="213">
                  <c:v>86586</c:v>
                </c:pt>
                <c:pt idx="214">
                  <c:v>86586</c:v>
                </c:pt>
                <c:pt idx="215">
                  <c:v>86586</c:v>
                </c:pt>
                <c:pt idx="216">
                  <c:v>86586</c:v>
                </c:pt>
                <c:pt idx="217">
                  <c:v>86586</c:v>
                </c:pt>
                <c:pt idx="218">
                  <c:v>85610</c:v>
                </c:pt>
                <c:pt idx="219">
                  <c:v>85610</c:v>
                </c:pt>
                <c:pt idx="220">
                  <c:v>85610</c:v>
                </c:pt>
                <c:pt idx="221">
                  <c:v>85610</c:v>
                </c:pt>
                <c:pt idx="222">
                  <c:v>85610</c:v>
                </c:pt>
                <c:pt idx="223">
                  <c:v>85610</c:v>
                </c:pt>
                <c:pt idx="224">
                  <c:v>85610</c:v>
                </c:pt>
                <c:pt idx="225">
                  <c:v>85900</c:v>
                </c:pt>
                <c:pt idx="226">
                  <c:v>85900</c:v>
                </c:pt>
                <c:pt idx="227">
                  <c:v>85900</c:v>
                </c:pt>
                <c:pt idx="228">
                  <c:v>85900</c:v>
                </c:pt>
                <c:pt idx="229">
                  <c:v>85900</c:v>
                </c:pt>
                <c:pt idx="230">
                  <c:v>85900</c:v>
                </c:pt>
                <c:pt idx="231">
                  <c:v>85900</c:v>
                </c:pt>
                <c:pt idx="232">
                  <c:v>84873</c:v>
                </c:pt>
                <c:pt idx="233">
                  <c:v>84873</c:v>
                </c:pt>
                <c:pt idx="234">
                  <c:v>84873</c:v>
                </c:pt>
                <c:pt idx="235">
                  <c:v>84873</c:v>
                </c:pt>
                <c:pt idx="236">
                  <c:v>84873</c:v>
                </c:pt>
                <c:pt idx="237">
                  <c:v>84873</c:v>
                </c:pt>
                <c:pt idx="238">
                  <c:v>84873</c:v>
                </c:pt>
                <c:pt idx="239">
                  <c:v>86620</c:v>
                </c:pt>
                <c:pt idx="240">
                  <c:v>86620</c:v>
                </c:pt>
                <c:pt idx="241">
                  <c:v>86620</c:v>
                </c:pt>
                <c:pt idx="242">
                  <c:v>86620</c:v>
                </c:pt>
                <c:pt idx="243">
                  <c:v>86620</c:v>
                </c:pt>
                <c:pt idx="244">
                  <c:v>86620</c:v>
                </c:pt>
                <c:pt idx="245">
                  <c:v>86620</c:v>
                </c:pt>
                <c:pt idx="246">
                  <c:v>86526</c:v>
                </c:pt>
                <c:pt idx="247">
                  <c:v>86526</c:v>
                </c:pt>
                <c:pt idx="248">
                  <c:v>86526</c:v>
                </c:pt>
                <c:pt idx="249">
                  <c:v>86526</c:v>
                </c:pt>
                <c:pt idx="250">
                  <c:v>86526</c:v>
                </c:pt>
                <c:pt idx="251">
                  <c:v>86526</c:v>
                </c:pt>
                <c:pt idx="252">
                  <c:v>86526</c:v>
                </c:pt>
                <c:pt idx="253">
                  <c:v>93379</c:v>
                </c:pt>
                <c:pt idx="254">
                  <c:v>93379</c:v>
                </c:pt>
                <c:pt idx="255">
                  <c:v>93379</c:v>
                </c:pt>
                <c:pt idx="256">
                  <c:v>93379</c:v>
                </c:pt>
                <c:pt idx="257">
                  <c:v>93379</c:v>
                </c:pt>
                <c:pt idx="258">
                  <c:v>93379</c:v>
                </c:pt>
                <c:pt idx="259">
                  <c:v>93379</c:v>
                </c:pt>
                <c:pt idx="260">
                  <c:v>94284</c:v>
                </c:pt>
                <c:pt idx="261">
                  <c:v>94284</c:v>
                </c:pt>
                <c:pt idx="262">
                  <c:v>94284</c:v>
                </c:pt>
                <c:pt idx="263">
                  <c:v>94284</c:v>
                </c:pt>
                <c:pt idx="264">
                  <c:v>94284</c:v>
                </c:pt>
                <c:pt idx="265">
                  <c:v>94284</c:v>
                </c:pt>
                <c:pt idx="266">
                  <c:v>94284</c:v>
                </c:pt>
                <c:pt idx="267">
                  <c:v>98456</c:v>
                </c:pt>
                <c:pt idx="268">
                  <c:v>98456</c:v>
                </c:pt>
                <c:pt idx="269">
                  <c:v>98456</c:v>
                </c:pt>
                <c:pt idx="270">
                  <c:v>98456</c:v>
                </c:pt>
                <c:pt idx="271">
                  <c:v>98456</c:v>
                </c:pt>
                <c:pt idx="272">
                  <c:v>98456</c:v>
                </c:pt>
                <c:pt idx="273">
                  <c:v>98456</c:v>
                </c:pt>
                <c:pt idx="274">
                  <c:v>100013</c:v>
                </c:pt>
                <c:pt idx="275">
                  <c:v>100013</c:v>
                </c:pt>
                <c:pt idx="276">
                  <c:v>100013</c:v>
                </c:pt>
                <c:pt idx="277">
                  <c:v>100013</c:v>
                </c:pt>
                <c:pt idx="278">
                  <c:v>100013</c:v>
                </c:pt>
                <c:pt idx="279">
                  <c:v>100013</c:v>
                </c:pt>
                <c:pt idx="280">
                  <c:v>100013</c:v>
                </c:pt>
                <c:pt idx="281">
                  <c:v>102458</c:v>
                </c:pt>
                <c:pt idx="282">
                  <c:v>102458</c:v>
                </c:pt>
                <c:pt idx="283">
                  <c:v>102458</c:v>
                </c:pt>
                <c:pt idx="284">
                  <c:v>102458</c:v>
                </c:pt>
                <c:pt idx="285">
                  <c:v>102458</c:v>
                </c:pt>
                <c:pt idx="286">
                  <c:v>102458</c:v>
                </c:pt>
                <c:pt idx="287">
                  <c:v>102458</c:v>
                </c:pt>
                <c:pt idx="288">
                  <c:v>103583</c:v>
                </c:pt>
                <c:pt idx="289">
                  <c:v>103583</c:v>
                </c:pt>
                <c:pt idx="290">
                  <c:v>103583</c:v>
                </c:pt>
                <c:pt idx="291">
                  <c:v>103583</c:v>
                </c:pt>
                <c:pt idx="292">
                  <c:v>103583</c:v>
                </c:pt>
              </c:numCache>
            </c:numRef>
          </c:val>
        </c:ser>
        <c:axId val="121813248"/>
        <c:axId val="122433536"/>
      </c:areaChart>
      <c:lineChart>
        <c:grouping val="standard"/>
        <c:ser>
          <c:idx val="3"/>
          <c:order val="2"/>
          <c:tx>
            <c:strRef>
              <c:f>金属库存及仓单工作区!$AE$2</c:f>
              <c:strCache>
                <c:ptCount val="1"/>
                <c:pt idx="0">
                  <c:v>伦铅连三期价</c:v>
                </c:pt>
              </c:strCache>
            </c:strRef>
          </c:tx>
          <c:spPr>
            <a:ln>
              <a:solidFill>
                <a:schemeClr val="accent2">
                  <a:lumMod val="75000"/>
                </a:schemeClr>
              </a:solidFill>
            </a:ln>
          </c:spPr>
          <c:marker>
            <c:symbol val="none"/>
          </c:marker>
          <c:cat>
            <c:numRef>
              <c:f>金属库存及仓单工作区!$K$4:$K$296</c:f>
              <c:numCache>
                <c:formatCode>yyyy/m/d</c:formatCode>
                <c:ptCount val="293"/>
                <c:pt idx="0">
                  <c:v>41795</c:v>
                </c:pt>
                <c:pt idx="1">
                  <c:v>41794</c:v>
                </c:pt>
                <c:pt idx="2">
                  <c:v>41793</c:v>
                </c:pt>
                <c:pt idx="3">
                  <c:v>41792</c:v>
                </c:pt>
                <c:pt idx="4">
                  <c:v>41791</c:v>
                </c:pt>
                <c:pt idx="5">
                  <c:v>41790</c:v>
                </c:pt>
                <c:pt idx="6">
                  <c:v>41789</c:v>
                </c:pt>
                <c:pt idx="7">
                  <c:v>41788</c:v>
                </c:pt>
                <c:pt idx="8">
                  <c:v>41787</c:v>
                </c:pt>
                <c:pt idx="9">
                  <c:v>41786</c:v>
                </c:pt>
                <c:pt idx="10">
                  <c:v>41785</c:v>
                </c:pt>
                <c:pt idx="11">
                  <c:v>41784</c:v>
                </c:pt>
                <c:pt idx="12">
                  <c:v>41783</c:v>
                </c:pt>
                <c:pt idx="13">
                  <c:v>41782</c:v>
                </c:pt>
                <c:pt idx="14">
                  <c:v>41781</c:v>
                </c:pt>
                <c:pt idx="15">
                  <c:v>41780</c:v>
                </c:pt>
                <c:pt idx="16">
                  <c:v>41779</c:v>
                </c:pt>
                <c:pt idx="17">
                  <c:v>41778</c:v>
                </c:pt>
                <c:pt idx="18">
                  <c:v>41777</c:v>
                </c:pt>
                <c:pt idx="19">
                  <c:v>41776</c:v>
                </c:pt>
                <c:pt idx="20">
                  <c:v>41775</c:v>
                </c:pt>
                <c:pt idx="21">
                  <c:v>41774</c:v>
                </c:pt>
                <c:pt idx="22">
                  <c:v>41773</c:v>
                </c:pt>
                <c:pt idx="23">
                  <c:v>41772</c:v>
                </c:pt>
                <c:pt idx="24">
                  <c:v>41771</c:v>
                </c:pt>
                <c:pt idx="25">
                  <c:v>41770</c:v>
                </c:pt>
                <c:pt idx="26">
                  <c:v>41769</c:v>
                </c:pt>
                <c:pt idx="27">
                  <c:v>41768</c:v>
                </c:pt>
                <c:pt idx="28">
                  <c:v>41767</c:v>
                </c:pt>
                <c:pt idx="29">
                  <c:v>41766</c:v>
                </c:pt>
                <c:pt idx="30">
                  <c:v>41765</c:v>
                </c:pt>
                <c:pt idx="31">
                  <c:v>41764</c:v>
                </c:pt>
                <c:pt idx="32">
                  <c:v>41763</c:v>
                </c:pt>
                <c:pt idx="33">
                  <c:v>41762</c:v>
                </c:pt>
                <c:pt idx="34">
                  <c:v>41761</c:v>
                </c:pt>
                <c:pt idx="35">
                  <c:v>41760</c:v>
                </c:pt>
                <c:pt idx="36">
                  <c:v>41759</c:v>
                </c:pt>
                <c:pt idx="37">
                  <c:v>41758</c:v>
                </c:pt>
                <c:pt idx="38">
                  <c:v>41757</c:v>
                </c:pt>
                <c:pt idx="39">
                  <c:v>41756</c:v>
                </c:pt>
                <c:pt idx="40">
                  <c:v>41755</c:v>
                </c:pt>
                <c:pt idx="41">
                  <c:v>41754</c:v>
                </c:pt>
                <c:pt idx="42">
                  <c:v>41753</c:v>
                </c:pt>
                <c:pt idx="43">
                  <c:v>41752</c:v>
                </c:pt>
                <c:pt idx="44">
                  <c:v>41751</c:v>
                </c:pt>
                <c:pt idx="45">
                  <c:v>41750</c:v>
                </c:pt>
                <c:pt idx="46">
                  <c:v>41749</c:v>
                </c:pt>
                <c:pt idx="47">
                  <c:v>41748</c:v>
                </c:pt>
                <c:pt idx="48">
                  <c:v>41747</c:v>
                </c:pt>
                <c:pt idx="49">
                  <c:v>41746</c:v>
                </c:pt>
                <c:pt idx="50">
                  <c:v>41745</c:v>
                </c:pt>
                <c:pt idx="51">
                  <c:v>41744</c:v>
                </c:pt>
                <c:pt idx="52">
                  <c:v>41743</c:v>
                </c:pt>
                <c:pt idx="53">
                  <c:v>41742</c:v>
                </c:pt>
                <c:pt idx="54">
                  <c:v>41741</c:v>
                </c:pt>
                <c:pt idx="55">
                  <c:v>41740</c:v>
                </c:pt>
                <c:pt idx="56">
                  <c:v>41739</c:v>
                </c:pt>
                <c:pt idx="57">
                  <c:v>41738</c:v>
                </c:pt>
                <c:pt idx="58">
                  <c:v>41737</c:v>
                </c:pt>
                <c:pt idx="59">
                  <c:v>41736</c:v>
                </c:pt>
                <c:pt idx="60">
                  <c:v>41735</c:v>
                </c:pt>
                <c:pt idx="61">
                  <c:v>41734</c:v>
                </c:pt>
                <c:pt idx="62">
                  <c:v>41733</c:v>
                </c:pt>
                <c:pt idx="63">
                  <c:v>41732</c:v>
                </c:pt>
                <c:pt idx="64">
                  <c:v>41731</c:v>
                </c:pt>
                <c:pt idx="65">
                  <c:v>41730</c:v>
                </c:pt>
                <c:pt idx="66">
                  <c:v>41729</c:v>
                </c:pt>
                <c:pt idx="67">
                  <c:v>41728</c:v>
                </c:pt>
                <c:pt idx="68">
                  <c:v>41727</c:v>
                </c:pt>
                <c:pt idx="69">
                  <c:v>41726</c:v>
                </c:pt>
                <c:pt idx="70">
                  <c:v>41725</c:v>
                </c:pt>
                <c:pt idx="71">
                  <c:v>41724</c:v>
                </c:pt>
                <c:pt idx="72">
                  <c:v>41723</c:v>
                </c:pt>
                <c:pt idx="73">
                  <c:v>41722</c:v>
                </c:pt>
                <c:pt idx="74">
                  <c:v>41721</c:v>
                </c:pt>
                <c:pt idx="75">
                  <c:v>41720</c:v>
                </c:pt>
                <c:pt idx="76">
                  <c:v>41719</c:v>
                </c:pt>
                <c:pt idx="77">
                  <c:v>41718</c:v>
                </c:pt>
                <c:pt idx="78">
                  <c:v>41717</c:v>
                </c:pt>
                <c:pt idx="79">
                  <c:v>41716</c:v>
                </c:pt>
                <c:pt idx="80">
                  <c:v>41715</c:v>
                </c:pt>
                <c:pt idx="81">
                  <c:v>41714</c:v>
                </c:pt>
                <c:pt idx="82">
                  <c:v>41713</c:v>
                </c:pt>
                <c:pt idx="83">
                  <c:v>41712</c:v>
                </c:pt>
                <c:pt idx="84">
                  <c:v>41711</c:v>
                </c:pt>
                <c:pt idx="85">
                  <c:v>41710</c:v>
                </c:pt>
                <c:pt idx="86">
                  <c:v>41709</c:v>
                </c:pt>
                <c:pt idx="87">
                  <c:v>41708</c:v>
                </c:pt>
                <c:pt idx="88">
                  <c:v>41707</c:v>
                </c:pt>
                <c:pt idx="89">
                  <c:v>41706</c:v>
                </c:pt>
                <c:pt idx="90">
                  <c:v>41705</c:v>
                </c:pt>
                <c:pt idx="91">
                  <c:v>41704</c:v>
                </c:pt>
                <c:pt idx="92">
                  <c:v>41703</c:v>
                </c:pt>
                <c:pt idx="93">
                  <c:v>41702</c:v>
                </c:pt>
                <c:pt idx="94">
                  <c:v>41701</c:v>
                </c:pt>
                <c:pt idx="95">
                  <c:v>41700</c:v>
                </c:pt>
                <c:pt idx="96">
                  <c:v>41699</c:v>
                </c:pt>
                <c:pt idx="97">
                  <c:v>41698</c:v>
                </c:pt>
                <c:pt idx="98">
                  <c:v>41697</c:v>
                </c:pt>
                <c:pt idx="99">
                  <c:v>41696</c:v>
                </c:pt>
                <c:pt idx="100">
                  <c:v>41695</c:v>
                </c:pt>
                <c:pt idx="101">
                  <c:v>41694</c:v>
                </c:pt>
                <c:pt idx="102">
                  <c:v>41693</c:v>
                </c:pt>
                <c:pt idx="103">
                  <c:v>41692</c:v>
                </c:pt>
                <c:pt idx="104">
                  <c:v>41691</c:v>
                </c:pt>
                <c:pt idx="105">
                  <c:v>41690</c:v>
                </c:pt>
                <c:pt idx="106">
                  <c:v>41689</c:v>
                </c:pt>
                <c:pt idx="107">
                  <c:v>41688</c:v>
                </c:pt>
                <c:pt idx="108">
                  <c:v>41687</c:v>
                </c:pt>
                <c:pt idx="109">
                  <c:v>41686</c:v>
                </c:pt>
                <c:pt idx="110">
                  <c:v>41685</c:v>
                </c:pt>
                <c:pt idx="111">
                  <c:v>41684</c:v>
                </c:pt>
                <c:pt idx="112">
                  <c:v>41683</c:v>
                </c:pt>
                <c:pt idx="113">
                  <c:v>41682</c:v>
                </c:pt>
                <c:pt idx="114">
                  <c:v>41681</c:v>
                </c:pt>
                <c:pt idx="115">
                  <c:v>41680</c:v>
                </c:pt>
                <c:pt idx="116">
                  <c:v>41679</c:v>
                </c:pt>
                <c:pt idx="117">
                  <c:v>41678</c:v>
                </c:pt>
                <c:pt idx="118">
                  <c:v>41677</c:v>
                </c:pt>
                <c:pt idx="119">
                  <c:v>41676</c:v>
                </c:pt>
                <c:pt idx="120">
                  <c:v>41675</c:v>
                </c:pt>
                <c:pt idx="121">
                  <c:v>41674</c:v>
                </c:pt>
                <c:pt idx="122">
                  <c:v>41673</c:v>
                </c:pt>
                <c:pt idx="123">
                  <c:v>41672</c:v>
                </c:pt>
                <c:pt idx="124">
                  <c:v>41671</c:v>
                </c:pt>
                <c:pt idx="125">
                  <c:v>41670</c:v>
                </c:pt>
                <c:pt idx="126">
                  <c:v>41669</c:v>
                </c:pt>
                <c:pt idx="127">
                  <c:v>41668</c:v>
                </c:pt>
                <c:pt idx="128">
                  <c:v>41667</c:v>
                </c:pt>
                <c:pt idx="129">
                  <c:v>41666</c:v>
                </c:pt>
                <c:pt idx="130">
                  <c:v>41665</c:v>
                </c:pt>
                <c:pt idx="131">
                  <c:v>41664</c:v>
                </c:pt>
                <c:pt idx="132">
                  <c:v>41663</c:v>
                </c:pt>
                <c:pt idx="133">
                  <c:v>41662</c:v>
                </c:pt>
                <c:pt idx="134">
                  <c:v>41661</c:v>
                </c:pt>
                <c:pt idx="135">
                  <c:v>41660</c:v>
                </c:pt>
                <c:pt idx="136">
                  <c:v>41659</c:v>
                </c:pt>
                <c:pt idx="137">
                  <c:v>41658</c:v>
                </c:pt>
                <c:pt idx="138">
                  <c:v>41657</c:v>
                </c:pt>
                <c:pt idx="139">
                  <c:v>41656</c:v>
                </c:pt>
                <c:pt idx="140">
                  <c:v>41655</c:v>
                </c:pt>
                <c:pt idx="141">
                  <c:v>41654</c:v>
                </c:pt>
                <c:pt idx="142">
                  <c:v>41653</c:v>
                </c:pt>
                <c:pt idx="143">
                  <c:v>41652</c:v>
                </c:pt>
                <c:pt idx="144">
                  <c:v>41651</c:v>
                </c:pt>
                <c:pt idx="145">
                  <c:v>41650</c:v>
                </c:pt>
                <c:pt idx="146">
                  <c:v>41649</c:v>
                </c:pt>
                <c:pt idx="147">
                  <c:v>41648</c:v>
                </c:pt>
                <c:pt idx="148">
                  <c:v>41647</c:v>
                </c:pt>
                <c:pt idx="149">
                  <c:v>41646</c:v>
                </c:pt>
                <c:pt idx="150">
                  <c:v>41645</c:v>
                </c:pt>
                <c:pt idx="151">
                  <c:v>41644</c:v>
                </c:pt>
                <c:pt idx="152">
                  <c:v>41643</c:v>
                </c:pt>
                <c:pt idx="153">
                  <c:v>41642</c:v>
                </c:pt>
                <c:pt idx="154">
                  <c:v>41641</c:v>
                </c:pt>
                <c:pt idx="155">
                  <c:v>41640</c:v>
                </c:pt>
                <c:pt idx="156">
                  <c:v>41639</c:v>
                </c:pt>
                <c:pt idx="157">
                  <c:v>41638</c:v>
                </c:pt>
                <c:pt idx="158">
                  <c:v>41637</c:v>
                </c:pt>
                <c:pt idx="159">
                  <c:v>41636</c:v>
                </c:pt>
                <c:pt idx="160">
                  <c:v>41635</c:v>
                </c:pt>
                <c:pt idx="161">
                  <c:v>41634</c:v>
                </c:pt>
                <c:pt idx="162">
                  <c:v>41633</c:v>
                </c:pt>
                <c:pt idx="163">
                  <c:v>41632</c:v>
                </c:pt>
                <c:pt idx="164">
                  <c:v>41631</c:v>
                </c:pt>
                <c:pt idx="165">
                  <c:v>41630</c:v>
                </c:pt>
                <c:pt idx="166">
                  <c:v>41629</c:v>
                </c:pt>
                <c:pt idx="167">
                  <c:v>41628</c:v>
                </c:pt>
                <c:pt idx="168">
                  <c:v>41627</c:v>
                </c:pt>
                <c:pt idx="169">
                  <c:v>41626</c:v>
                </c:pt>
                <c:pt idx="170">
                  <c:v>41625</c:v>
                </c:pt>
                <c:pt idx="171">
                  <c:v>41624</c:v>
                </c:pt>
                <c:pt idx="172">
                  <c:v>41623</c:v>
                </c:pt>
                <c:pt idx="173">
                  <c:v>41622</c:v>
                </c:pt>
                <c:pt idx="174">
                  <c:v>41621</c:v>
                </c:pt>
                <c:pt idx="175">
                  <c:v>41620</c:v>
                </c:pt>
                <c:pt idx="176">
                  <c:v>41619</c:v>
                </c:pt>
                <c:pt idx="177">
                  <c:v>41618</c:v>
                </c:pt>
                <c:pt idx="178">
                  <c:v>41617</c:v>
                </c:pt>
                <c:pt idx="179">
                  <c:v>41616</c:v>
                </c:pt>
                <c:pt idx="180">
                  <c:v>41615</c:v>
                </c:pt>
                <c:pt idx="181">
                  <c:v>41614</c:v>
                </c:pt>
                <c:pt idx="182">
                  <c:v>41613</c:v>
                </c:pt>
                <c:pt idx="183">
                  <c:v>41612</c:v>
                </c:pt>
                <c:pt idx="184">
                  <c:v>41611</c:v>
                </c:pt>
                <c:pt idx="185">
                  <c:v>41610</c:v>
                </c:pt>
                <c:pt idx="186">
                  <c:v>41609</c:v>
                </c:pt>
                <c:pt idx="187">
                  <c:v>41608</c:v>
                </c:pt>
                <c:pt idx="188">
                  <c:v>41607</c:v>
                </c:pt>
                <c:pt idx="189">
                  <c:v>41606</c:v>
                </c:pt>
                <c:pt idx="190">
                  <c:v>41605</c:v>
                </c:pt>
                <c:pt idx="191">
                  <c:v>41604</c:v>
                </c:pt>
                <c:pt idx="192">
                  <c:v>41603</c:v>
                </c:pt>
                <c:pt idx="193">
                  <c:v>41602</c:v>
                </c:pt>
                <c:pt idx="194">
                  <c:v>41601</c:v>
                </c:pt>
                <c:pt idx="195">
                  <c:v>41600</c:v>
                </c:pt>
                <c:pt idx="196">
                  <c:v>41599</c:v>
                </c:pt>
                <c:pt idx="197">
                  <c:v>41598</c:v>
                </c:pt>
                <c:pt idx="198">
                  <c:v>41597</c:v>
                </c:pt>
                <c:pt idx="199">
                  <c:v>41596</c:v>
                </c:pt>
                <c:pt idx="200">
                  <c:v>41595</c:v>
                </c:pt>
                <c:pt idx="201">
                  <c:v>41594</c:v>
                </c:pt>
                <c:pt idx="202">
                  <c:v>41593</c:v>
                </c:pt>
                <c:pt idx="203">
                  <c:v>41592</c:v>
                </c:pt>
                <c:pt idx="204">
                  <c:v>41591</c:v>
                </c:pt>
                <c:pt idx="205">
                  <c:v>41590</c:v>
                </c:pt>
                <c:pt idx="206">
                  <c:v>41589</c:v>
                </c:pt>
                <c:pt idx="207">
                  <c:v>41588</c:v>
                </c:pt>
                <c:pt idx="208">
                  <c:v>41587</c:v>
                </c:pt>
                <c:pt idx="209">
                  <c:v>41586</c:v>
                </c:pt>
                <c:pt idx="210">
                  <c:v>41585</c:v>
                </c:pt>
                <c:pt idx="211">
                  <c:v>41584</c:v>
                </c:pt>
                <c:pt idx="212">
                  <c:v>41583</c:v>
                </c:pt>
                <c:pt idx="213">
                  <c:v>41582</c:v>
                </c:pt>
                <c:pt idx="214">
                  <c:v>41581</c:v>
                </c:pt>
                <c:pt idx="215">
                  <c:v>41580</c:v>
                </c:pt>
                <c:pt idx="216">
                  <c:v>41579</c:v>
                </c:pt>
                <c:pt idx="217">
                  <c:v>41578</c:v>
                </c:pt>
                <c:pt idx="218">
                  <c:v>41577</c:v>
                </c:pt>
                <c:pt idx="219">
                  <c:v>41576</c:v>
                </c:pt>
                <c:pt idx="220">
                  <c:v>41575</c:v>
                </c:pt>
                <c:pt idx="221">
                  <c:v>41574</c:v>
                </c:pt>
                <c:pt idx="222">
                  <c:v>41573</c:v>
                </c:pt>
                <c:pt idx="223">
                  <c:v>41572</c:v>
                </c:pt>
                <c:pt idx="224">
                  <c:v>41571</c:v>
                </c:pt>
                <c:pt idx="225">
                  <c:v>41570</c:v>
                </c:pt>
                <c:pt idx="226">
                  <c:v>41569</c:v>
                </c:pt>
                <c:pt idx="227">
                  <c:v>41568</c:v>
                </c:pt>
                <c:pt idx="228">
                  <c:v>41567</c:v>
                </c:pt>
                <c:pt idx="229">
                  <c:v>41566</c:v>
                </c:pt>
                <c:pt idx="230">
                  <c:v>41565</c:v>
                </c:pt>
                <c:pt idx="231">
                  <c:v>41564</c:v>
                </c:pt>
                <c:pt idx="232">
                  <c:v>41563</c:v>
                </c:pt>
                <c:pt idx="233">
                  <c:v>41562</c:v>
                </c:pt>
                <c:pt idx="234">
                  <c:v>41561</c:v>
                </c:pt>
                <c:pt idx="235">
                  <c:v>41560</c:v>
                </c:pt>
                <c:pt idx="236">
                  <c:v>41559</c:v>
                </c:pt>
                <c:pt idx="237">
                  <c:v>41558</c:v>
                </c:pt>
                <c:pt idx="238">
                  <c:v>41557</c:v>
                </c:pt>
                <c:pt idx="239">
                  <c:v>41556</c:v>
                </c:pt>
                <c:pt idx="240">
                  <c:v>41555</c:v>
                </c:pt>
                <c:pt idx="241">
                  <c:v>41554</c:v>
                </c:pt>
                <c:pt idx="242">
                  <c:v>41553</c:v>
                </c:pt>
                <c:pt idx="243">
                  <c:v>41552</c:v>
                </c:pt>
                <c:pt idx="244">
                  <c:v>41551</c:v>
                </c:pt>
                <c:pt idx="245">
                  <c:v>41550</c:v>
                </c:pt>
                <c:pt idx="246">
                  <c:v>41549</c:v>
                </c:pt>
                <c:pt idx="247">
                  <c:v>41548</c:v>
                </c:pt>
                <c:pt idx="248">
                  <c:v>41547</c:v>
                </c:pt>
                <c:pt idx="249">
                  <c:v>41546</c:v>
                </c:pt>
                <c:pt idx="250">
                  <c:v>41545</c:v>
                </c:pt>
                <c:pt idx="251">
                  <c:v>41544</c:v>
                </c:pt>
                <c:pt idx="252">
                  <c:v>41543</c:v>
                </c:pt>
                <c:pt idx="253">
                  <c:v>41542</c:v>
                </c:pt>
                <c:pt idx="254">
                  <c:v>41541</c:v>
                </c:pt>
                <c:pt idx="255">
                  <c:v>41540</c:v>
                </c:pt>
                <c:pt idx="256">
                  <c:v>41539</c:v>
                </c:pt>
                <c:pt idx="257">
                  <c:v>41538</c:v>
                </c:pt>
                <c:pt idx="258">
                  <c:v>41537</c:v>
                </c:pt>
                <c:pt idx="259">
                  <c:v>41536</c:v>
                </c:pt>
                <c:pt idx="260">
                  <c:v>41535</c:v>
                </c:pt>
                <c:pt idx="261">
                  <c:v>41534</c:v>
                </c:pt>
                <c:pt idx="262">
                  <c:v>41533</c:v>
                </c:pt>
                <c:pt idx="263">
                  <c:v>41532</c:v>
                </c:pt>
                <c:pt idx="264">
                  <c:v>41531</c:v>
                </c:pt>
                <c:pt idx="265">
                  <c:v>41530</c:v>
                </c:pt>
                <c:pt idx="266">
                  <c:v>41529</c:v>
                </c:pt>
                <c:pt idx="267">
                  <c:v>41528</c:v>
                </c:pt>
                <c:pt idx="268">
                  <c:v>41527</c:v>
                </c:pt>
                <c:pt idx="269">
                  <c:v>41526</c:v>
                </c:pt>
                <c:pt idx="270">
                  <c:v>41525</c:v>
                </c:pt>
                <c:pt idx="271">
                  <c:v>41524</c:v>
                </c:pt>
                <c:pt idx="272">
                  <c:v>41523</c:v>
                </c:pt>
                <c:pt idx="273">
                  <c:v>41522</c:v>
                </c:pt>
                <c:pt idx="274">
                  <c:v>41521</c:v>
                </c:pt>
                <c:pt idx="275">
                  <c:v>41520</c:v>
                </c:pt>
                <c:pt idx="276">
                  <c:v>41519</c:v>
                </c:pt>
                <c:pt idx="277">
                  <c:v>41518</c:v>
                </c:pt>
                <c:pt idx="278">
                  <c:v>41517</c:v>
                </c:pt>
                <c:pt idx="279">
                  <c:v>41516</c:v>
                </c:pt>
                <c:pt idx="280">
                  <c:v>41515</c:v>
                </c:pt>
                <c:pt idx="281">
                  <c:v>41514</c:v>
                </c:pt>
                <c:pt idx="282">
                  <c:v>41513</c:v>
                </c:pt>
                <c:pt idx="283">
                  <c:v>41512</c:v>
                </c:pt>
                <c:pt idx="284">
                  <c:v>41511</c:v>
                </c:pt>
                <c:pt idx="285">
                  <c:v>41510</c:v>
                </c:pt>
                <c:pt idx="286">
                  <c:v>41509</c:v>
                </c:pt>
                <c:pt idx="287">
                  <c:v>41508</c:v>
                </c:pt>
                <c:pt idx="288">
                  <c:v>41507</c:v>
                </c:pt>
                <c:pt idx="289">
                  <c:v>41506</c:v>
                </c:pt>
                <c:pt idx="290">
                  <c:v>41505</c:v>
                </c:pt>
                <c:pt idx="291">
                  <c:v>41504</c:v>
                </c:pt>
                <c:pt idx="292">
                  <c:v>41503</c:v>
                </c:pt>
              </c:numCache>
            </c:numRef>
          </c:cat>
          <c:val>
            <c:numRef>
              <c:f>金属库存及仓单工作区!$AE$4:$AE$296</c:f>
              <c:numCache>
                <c:formatCode>0_);[Red]\(0\)</c:formatCode>
                <c:ptCount val="293"/>
                <c:pt idx="0">
                  <c:v>2104</c:v>
                </c:pt>
                <c:pt idx="1">
                  <c:v>2099.25</c:v>
                </c:pt>
                <c:pt idx="2">
                  <c:v>2133</c:v>
                </c:pt>
                <c:pt idx="3">
                  <c:v>2119.5</c:v>
                </c:pt>
                <c:pt idx="4">
                  <c:v>2092.5</c:v>
                </c:pt>
                <c:pt idx="5">
                  <c:v>2092.5</c:v>
                </c:pt>
                <c:pt idx="6">
                  <c:v>2092.5</c:v>
                </c:pt>
                <c:pt idx="7">
                  <c:v>2119.75</c:v>
                </c:pt>
                <c:pt idx="8">
                  <c:v>2133.25</c:v>
                </c:pt>
                <c:pt idx="9">
                  <c:v>2140.75</c:v>
                </c:pt>
                <c:pt idx="10">
                  <c:v>2149.75</c:v>
                </c:pt>
                <c:pt idx="11">
                  <c:v>2149.75</c:v>
                </c:pt>
                <c:pt idx="12">
                  <c:v>2149.75</c:v>
                </c:pt>
                <c:pt idx="13">
                  <c:v>2149.75</c:v>
                </c:pt>
                <c:pt idx="14">
                  <c:v>2136.75</c:v>
                </c:pt>
                <c:pt idx="15">
                  <c:v>2124</c:v>
                </c:pt>
                <c:pt idx="16">
                  <c:v>2133.5</c:v>
                </c:pt>
                <c:pt idx="17">
                  <c:v>2146.75</c:v>
                </c:pt>
                <c:pt idx="18">
                  <c:v>2127.25</c:v>
                </c:pt>
                <c:pt idx="19">
                  <c:v>2127.25</c:v>
                </c:pt>
                <c:pt idx="20">
                  <c:v>2127.25</c:v>
                </c:pt>
                <c:pt idx="21">
                  <c:v>2125</c:v>
                </c:pt>
                <c:pt idx="22">
                  <c:v>2153</c:v>
                </c:pt>
                <c:pt idx="23">
                  <c:v>2117</c:v>
                </c:pt>
                <c:pt idx="24">
                  <c:v>2121.5</c:v>
                </c:pt>
                <c:pt idx="25">
                  <c:v>2082.5</c:v>
                </c:pt>
                <c:pt idx="26">
                  <c:v>2082.5</c:v>
                </c:pt>
                <c:pt idx="27">
                  <c:v>2082.5</c:v>
                </c:pt>
                <c:pt idx="28">
                  <c:v>2092.5</c:v>
                </c:pt>
                <c:pt idx="29">
                  <c:v>2078.25</c:v>
                </c:pt>
                <c:pt idx="30">
                  <c:v>2109.25</c:v>
                </c:pt>
                <c:pt idx="31">
                  <c:v>2091.5</c:v>
                </c:pt>
                <c:pt idx="32">
                  <c:v>2091.5</c:v>
                </c:pt>
                <c:pt idx="33">
                  <c:v>2091.5</c:v>
                </c:pt>
                <c:pt idx="34">
                  <c:v>2091.5</c:v>
                </c:pt>
                <c:pt idx="35">
                  <c:v>2090.5</c:v>
                </c:pt>
                <c:pt idx="36">
                  <c:v>2106.5</c:v>
                </c:pt>
                <c:pt idx="37">
                  <c:v>2111</c:v>
                </c:pt>
                <c:pt idx="38">
                  <c:v>2137.5</c:v>
                </c:pt>
                <c:pt idx="39">
                  <c:v>2163.5</c:v>
                </c:pt>
                <c:pt idx="40">
                  <c:v>2163.5</c:v>
                </c:pt>
                <c:pt idx="41">
                  <c:v>2163.5</c:v>
                </c:pt>
                <c:pt idx="42">
                  <c:v>2169.75</c:v>
                </c:pt>
                <c:pt idx="43">
                  <c:v>2161.25</c:v>
                </c:pt>
                <c:pt idx="44">
                  <c:v>2162</c:v>
                </c:pt>
                <c:pt idx="45">
                  <c:v>2143.25</c:v>
                </c:pt>
                <c:pt idx="46">
                  <c:v>2143.25</c:v>
                </c:pt>
                <c:pt idx="47">
                  <c:v>2143.25</c:v>
                </c:pt>
                <c:pt idx="48">
                  <c:v>2143.25</c:v>
                </c:pt>
                <c:pt idx="49">
                  <c:v>2143.25</c:v>
                </c:pt>
                <c:pt idx="50">
                  <c:v>2142</c:v>
                </c:pt>
                <c:pt idx="51">
                  <c:v>2109.25</c:v>
                </c:pt>
                <c:pt idx="52">
                  <c:v>2118.5</c:v>
                </c:pt>
                <c:pt idx="53">
                  <c:v>2097</c:v>
                </c:pt>
                <c:pt idx="54">
                  <c:v>2097</c:v>
                </c:pt>
                <c:pt idx="55">
                  <c:v>2097</c:v>
                </c:pt>
                <c:pt idx="56">
                  <c:v>2110.5</c:v>
                </c:pt>
                <c:pt idx="57">
                  <c:v>2088</c:v>
                </c:pt>
                <c:pt idx="58">
                  <c:v>2071</c:v>
                </c:pt>
                <c:pt idx="59">
                  <c:v>2063</c:v>
                </c:pt>
                <c:pt idx="60">
                  <c:v>2057</c:v>
                </c:pt>
                <c:pt idx="61">
                  <c:v>2057</c:v>
                </c:pt>
                <c:pt idx="62">
                  <c:v>2057</c:v>
                </c:pt>
                <c:pt idx="63">
                  <c:v>2052.25</c:v>
                </c:pt>
                <c:pt idx="64">
                  <c:v>2057.25</c:v>
                </c:pt>
                <c:pt idx="65">
                  <c:v>2044.5</c:v>
                </c:pt>
                <c:pt idx="66">
                  <c:v>2066</c:v>
                </c:pt>
                <c:pt idx="67">
                  <c:v>2067</c:v>
                </c:pt>
                <c:pt idx="68">
                  <c:v>2067</c:v>
                </c:pt>
                <c:pt idx="69">
                  <c:v>2067</c:v>
                </c:pt>
                <c:pt idx="70">
                  <c:v>2068.25</c:v>
                </c:pt>
                <c:pt idx="71">
                  <c:v>2067</c:v>
                </c:pt>
                <c:pt idx="72">
                  <c:v>2087</c:v>
                </c:pt>
                <c:pt idx="73">
                  <c:v>2070</c:v>
                </c:pt>
                <c:pt idx="74">
                  <c:v>2078</c:v>
                </c:pt>
                <c:pt idx="75">
                  <c:v>2078</c:v>
                </c:pt>
                <c:pt idx="76">
                  <c:v>2078</c:v>
                </c:pt>
                <c:pt idx="77">
                  <c:v>2071</c:v>
                </c:pt>
                <c:pt idx="78">
                  <c:v>2080</c:v>
                </c:pt>
                <c:pt idx="79">
                  <c:v>2069.5</c:v>
                </c:pt>
                <c:pt idx="80">
                  <c:v>2056.75</c:v>
                </c:pt>
                <c:pt idx="81">
                  <c:v>2038.75</c:v>
                </c:pt>
                <c:pt idx="82">
                  <c:v>2038.75</c:v>
                </c:pt>
                <c:pt idx="83">
                  <c:v>2038.75</c:v>
                </c:pt>
                <c:pt idx="84">
                  <c:v>2019</c:v>
                </c:pt>
                <c:pt idx="85">
                  <c:v>2033</c:v>
                </c:pt>
                <c:pt idx="86">
                  <c:v>2044.25</c:v>
                </c:pt>
                <c:pt idx="87">
                  <c:v>2078.5</c:v>
                </c:pt>
                <c:pt idx="88">
                  <c:v>2093</c:v>
                </c:pt>
                <c:pt idx="89">
                  <c:v>2093</c:v>
                </c:pt>
                <c:pt idx="90">
                  <c:v>2093</c:v>
                </c:pt>
                <c:pt idx="91">
                  <c:v>2142</c:v>
                </c:pt>
                <c:pt idx="92">
                  <c:v>2134</c:v>
                </c:pt>
                <c:pt idx="93">
                  <c:v>2136.5</c:v>
                </c:pt>
                <c:pt idx="94">
                  <c:v>2113</c:v>
                </c:pt>
                <c:pt idx="95">
                  <c:v>2136</c:v>
                </c:pt>
                <c:pt idx="96">
                  <c:v>2136</c:v>
                </c:pt>
                <c:pt idx="97">
                  <c:v>2136</c:v>
                </c:pt>
                <c:pt idx="98">
                  <c:v>2139.5</c:v>
                </c:pt>
                <c:pt idx="99">
                  <c:v>2136.75</c:v>
                </c:pt>
                <c:pt idx="100">
                  <c:v>2121.5</c:v>
                </c:pt>
                <c:pt idx="101">
                  <c:v>2133</c:v>
                </c:pt>
                <c:pt idx="102">
                  <c:v>2150</c:v>
                </c:pt>
                <c:pt idx="103">
                  <c:v>2150</c:v>
                </c:pt>
                <c:pt idx="104">
                  <c:v>2150</c:v>
                </c:pt>
                <c:pt idx="105">
                  <c:v>2137.75</c:v>
                </c:pt>
                <c:pt idx="106">
                  <c:v>2166</c:v>
                </c:pt>
                <c:pt idx="107">
                  <c:v>2172</c:v>
                </c:pt>
                <c:pt idx="108">
                  <c:v>2153.5</c:v>
                </c:pt>
                <c:pt idx="109">
                  <c:v>2136</c:v>
                </c:pt>
                <c:pt idx="110">
                  <c:v>2136</c:v>
                </c:pt>
                <c:pt idx="111">
                  <c:v>2136</c:v>
                </c:pt>
                <c:pt idx="112">
                  <c:v>2116.75</c:v>
                </c:pt>
                <c:pt idx="113">
                  <c:v>2117.5</c:v>
                </c:pt>
                <c:pt idx="114">
                  <c:v>2110</c:v>
                </c:pt>
                <c:pt idx="115">
                  <c:v>2102</c:v>
                </c:pt>
                <c:pt idx="116">
                  <c:v>2118</c:v>
                </c:pt>
                <c:pt idx="117">
                  <c:v>2118</c:v>
                </c:pt>
                <c:pt idx="118">
                  <c:v>2118</c:v>
                </c:pt>
                <c:pt idx="119">
                  <c:v>2116.25</c:v>
                </c:pt>
                <c:pt idx="120">
                  <c:v>2095</c:v>
                </c:pt>
                <c:pt idx="121">
                  <c:v>2091.5</c:v>
                </c:pt>
                <c:pt idx="122">
                  <c:v>2082</c:v>
                </c:pt>
                <c:pt idx="123">
                  <c:v>2113</c:v>
                </c:pt>
                <c:pt idx="124">
                  <c:v>2113</c:v>
                </c:pt>
                <c:pt idx="125">
                  <c:v>2113</c:v>
                </c:pt>
                <c:pt idx="126">
                  <c:v>2115</c:v>
                </c:pt>
                <c:pt idx="127">
                  <c:v>2144.25</c:v>
                </c:pt>
                <c:pt idx="128">
                  <c:v>2156</c:v>
                </c:pt>
                <c:pt idx="129">
                  <c:v>2147.5</c:v>
                </c:pt>
                <c:pt idx="130">
                  <c:v>2169.5</c:v>
                </c:pt>
                <c:pt idx="131">
                  <c:v>2169.5</c:v>
                </c:pt>
                <c:pt idx="132">
                  <c:v>2169.5</c:v>
                </c:pt>
                <c:pt idx="133">
                  <c:v>2154.5</c:v>
                </c:pt>
                <c:pt idx="134">
                  <c:v>2197</c:v>
                </c:pt>
                <c:pt idx="135">
                  <c:v>2213.5</c:v>
                </c:pt>
                <c:pt idx="136">
                  <c:v>2206</c:v>
                </c:pt>
                <c:pt idx="137">
                  <c:v>2209.25</c:v>
                </c:pt>
                <c:pt idx="138">
                  <c:v>2209.25</c:v>
                </c:pt>
                <c:pt idx="139">
                  <c:v>2209.25</c:v>
                </c:pt>
                <c:pt idx="140">
                  <c:v>2197</c:v>
                </c:pt>
                <c:pt idx="141">
                  <c:v>2211</c:v>
                </c:pt>
                <c:pt idx="142">
                  <c:v>2188</c:v>
                </c:pt>
                <c:pt idx="143">
                  <c:v>2164</c:v>
                </c:pt>
                <c:pt idx="144">
                  <c:v>2115.75</c:v>
                </c:pt>
                <c:pt idx="145">
                  <c:v>2115.75</c:v>
                </c:pt>
                <c:pt idx="146">
                  <c:v>2115.75</c:v>
                </c:pt>
                <c:pt idx="147">
                  <c:v>2096.75</c:v>
                </c:pt>
                <c:pt idx="148">
                  <c:v>2137.5</c:v>
                </c:pt>
                <c:pt idx="149">
                  <c:v>2155.25</c:v>
                </c:pt>
                <c:pt idx="150">
                  <c:v>2164</c:v>
                </c:pt>
                <c:pt idx="151">
                  <c:v>2175.75</c:v>
                </c:pt>
                <c:pt idx="152">
                  <c:v>2175.75</c:v>
                </c:pt>
                <c:pt idx="153">
                  <c:v>2175.75</c:v>
                </c:pt>
                <c:pt idx="154">
                  <c:v>2221.5</c:v>
                </c:pt>
                <c:pt idx="155">
                  <c:v>2219</c:v>
                </c:pt>
                <c:pt idx="156">
                  <c:v>2219</c:v>
                </c:pt>
                <c:pt idx="157">
                  <c:v>2258.5</c:v>
                </c:pt>
                <c:pt idx="158">
                  <c:v>2291.5</c:v>
                </c:pt>
                <c:pt idx="159">
                  <c:v>2291.5</c:v>
                </c:pt>
                <c:pt idx="160">
                  <c:v>2291.5</c:v>
                </c:pt>
                <c:pt idx="161">
                  <c:v>2250.5</c:v>
                </c:pt>
                <c:pt idx="162">
                  <c:v>2250.5</c:v>
                </c:pt>
                <c:pt idx="163">
                  <c:v>2250.5</c:v>
                </c:pt>
                <c:pt idx="164">
                  <c:v>2235.5</c:v>
                </c:pt>
                <c:pt idx="165">
                  <c:v>2219</c:v>
                </c:pt>
                <c:pt idx="166">
                  <c:v>2219</c:v>
                </c:pt>
                <c:pt idx="167">
                  <c:v>2219</c:v>
                </c:pt>
                <c:pt idx="168">
                  <c:v>2174</c:v>
                </c:pt>
                <c:pt idx="169">
                  <c:v>2183.25</c:v>
                </c:pt>
                <c:pt idx="170">
                  <c:v>2173.5500000000002</c:v>
                </c:pt>
                <c:pt idx="171">
                  <c:v>2163</c:v>
                </c:pt>
                <c:pt idx="172">
                  <c:v>2148.25</c:v>
                </c:pt>
                <c:pt idx="173">
                  <c:v>2148.25</c:v>
                </c:pt>
                <c:pt idx="174">
                  <c:v>2148.25</c:v>
                </c:pt>
                <c:pt idx="175">
                  <c:v>2123.25</c:v>
                </c:pt>
                <c:pt idx="176">
                  <c:v>2141</c:v>
                </c:pt>
                <c:pt idx="177">
                  <c:v>2118.5</c:v>
                </c:pt>
                <c:pt idx="178">
                  <c:v>2106</c:v>
                </c:pt>
                <c:pt idx="179">
                  <c:v>2089.5</c:v>
                </c:pt>
                <c:pt idx="180">
                  <c:v>2089.5</c:v>
                </c:pt>
                <c:pt idx="181">
                  <c:v>2089.5</c:v>
                </c:pt>
                <c:pt idx="182">
                  <c:v>2081</c:v>
                </c:pt>
                <c:pt idx="183">
                  <c:v>2081.75</c:v>
                </c:pt>
                <c:pt idx="184">
                  <c:v>2060.75</c:v>
                </c:pt>
                <c:pt idx="185">
                  <c:v>2063.5</c:v>
                </c:pt>
                <c:pt idx="186">
                  <c:v>2077.25</c:v>
                </c:pt>
                <c:pt idx="187">
                  <c:v>2077.25</c:v>
                </c:pt>
                <c:pt idx="188">
                  <c:v>2077.25</c:v>
                </c:pt>
                <c:pt idx="189">
                  <c:v>2064</c:v>
                </c:pt>
                <c:pt idx="190">
                  <c:v>2073.5</c:v>
                </c:pt>
                <c:pt idx="191">
                  <c:v>2095</c:v>
                </c:pt>
                <c:pt idx="192">
                  <c:v>2086.75</c:v>
                </c:pt>
                <c:pt idx="193">
                  <c:v>2107</c:v>
                </c:pt>
                <c:pt idx="194">
                  <c:v>2107</c:v>
                </c:pt>
                <c:pt idx="195">
                  <c:v>2107</c:v>
                </c:pt>
                <c:pt idx="196">
                  <c:v>2088</c:v>
                </c:pt>
                <c:pt idx="197">
                  <c:v>2097</c:v>
                </c:pt>
                <c:pt idx="198">
                  <c:v>2090</c:v>
                </c:pt>
                <c:pt idx="199">
                  <c:v>2074.75</c:v>
                </c:pt>
                <c:pt idx="200">
                  <c:v>2090</c:v>
                </c:pt>
                <c:pt idx="201">
                  <c:v>2090</c:v>
                </c:pt>
                <c:pt idx="202">
                  <c:v>2090</c:v>
                </c:pt>
                <c:pt idx="203">
                  <c:v>2089.25</c:v>
                </c:pt>
                <c:pt idx="204">
                  <c:v>2092.25</c:v>
                </c:pt>
                <c:pt idx="205">
                  <c:v>2101.75</c:v>
                </c:pt>
                <c:pt idx="206">
                  <c:v>2123</c:v>
                </c:pt>
                <c:pt idx="207">
                  <c:v>2136.75</c:v>
                </c:pt>
                <c:pt idx="208">
                  <c:v>2136.75</c:v>
                </c:pt>
                <c:pt idx="209">
                  <c:v>2136.75</c:v>
                </c:pt>
                <c:pt idx="210">
                  <c:v>2142.25</c:v>
                </c:pt>
                <c:pt idx="211">
                  <c:v>2157</c:v>
                </c:pt>
                <c:pt idx="212">
                  <c:v>2153.75</c:v>
                </c:pt>
                <c:pt idx="213">
                  <c:v>2157.25</c:v>
                </c:pt>
                <c:pt idx="214">
                  <c:v>2186.75</c:v>
                </c:pt>
                <c:pt idx="215">
                  <c:v>2186.75</c:v>
                </c:pt>
                <c:pt idx="216">
                  <c:v>2186.75</c:v>
                </c:pt>
                <c:pt idx="217">
                  <c:v>2183.5</c:v>
                </c:pt>
                <c:pt idx="218">
                  <c:v>2209</c:v>
                </c:pt>
                <c:pt idx="219">
                  <c:v>2205.5</c:v>
                </c:pt>
                <c:pt idx="220">
                  <c:v>2213.5</c:v>
                </c:pt>
                <c:pt idx="221">
                  <c:v>2206.5</c:v>
                </c:pt>
                <c:pt idx="222">
                  <c:v>2206.5</c:v>
                </c:pt>
                <c:pt idx="223">
                  <c:v>2206.5</c:v>
                </c:pt>
                <c:pt idx="224">
                  <c:v>2174</c:v>
                </c:pt>
                <c:pt idx="225">
                  <c:v>2173.5</c:v>
                </c:pt>
                <c:pt idx="226">
                  <c:v>2207.75</c:v>
                </c:pt>
                <c:pt idx="227">
                  <c:v>2192</c:v>
                </c:pt>
                <c:pt idx="228">
                  <c:v>2177</c:v>
                </c:pt>
                <c:pt idx="229">
                  <c:v>2177</c:v>
                </c:pt>
                <c:pt idx="230">
                  <c:v>2177</c:v>
                </c:pt>
                <c:pt idx="231">
                  <c:v>2177.5</c:v>
                </c:pt>
                <c:pt idx="232">
                  <c:v>2166</c:v>
                </c:pt>
                <c:pt idx="233">
                  <c:v>2143</c:v>
                </c:pt>
                <c:pt idx="234">
                  <c:v>2126</c:v>
                </c:pt>
                <c:pt idx="235">
                  <c:v>2097.25</c:v>
                </c:pt>
                <c:pt idx="236">
                  <c:v>2097.25</c:v>
                </c:pt>
                <c:pt idx="237">
                  <c:v>2097.25</c:v>
                </c:pt>
                <c:pt idx="238">
                  <c:v>2069</c:v>
                </c:pt>
                <c:pt idx="239">
                  <c:v>2069.25</c:v>
                </c:pt>
                <c:pt idx="240">
                  <c:v>2087.5</c:v>
                </c:pt>
                <c:pt idx="241">
                  <c:v>2057</c:v>
                </c:pt>
                <c:pt idx="242">
                  <c:v>2041</c:v>
                </c:pt>
                <c:pt idx="243">
                  <c:v>2041</c:v>
                </c:pt>
                <c:pt idx="244">
                  <c:v>2041</c:v>
                </c:pt>
                <c:pt idx="245">
                  <c:v>2056.5</c:v>
                </c:pt>
                <c:pt idx="246">
                  <c:v>2071.75</c:v>
                </c:pt>
                <c:pt idx="247">
                  <c:v>2062.25</c:v>
                </c:pt>
                <c:pt idx="248">
                  <c:v>2115.25</c:v>
                </c:pt>
                <c:pt idx="249">
                  <c:v>2099.5</c:v>
                </c:pt>
                <c:pt idx="250">
                  <c:v>2099.5</c:v>
                </c:pt>
                <c:pt idx="251">
                  <c:v>2099.5</c:v>
                </c:pt>
                <c:pt idx="252">
                  <c:v>2096</c:v>
                </c:pt>
                <c:pt idx="253">
                  <c:v>2075</c:v>
                </c:pt>
                <c:pt idx="254">
                  <c:v>2063</c:v>
                </c:pt>
                <c:pt idx="255">
                  <c:v>2080.5</c:v>
                </c:pt>
                <c:pt idx="256">
                  <c:v>2084</c:v>
                </c:pt>
                <c:pt idx="257">
                  <c:v>2084</c:v>
                </c:pt>
                <c:pt idx="258">
                  <c:v>2084</c:v>
                </c:pt>
                <c:pt idx="259">
                  <c:v>2127.5</c:v>
                </c:pt>
                <c:pt idx="260">
                  <c:v>2071</c:v>
                </c:pt>
                <c:pt idx="261">
                  <c:v>2041.75</c:v>
                </c:pt>
                <c:pt idx="262">
                  <c:v>2046.25</c:v>
                </c:pt>
                <c:pt idx="263">
                  <c:v>2063.75</c:v>
                </c:pt>
                <c:pt idx="264">
                  <c:v>2063.75</c:v>
                </c:pt>
                <c:pt idx="265">
                  <c:v>2063.75</c:v>
                </c:pt>
                <c:pt idx="266">
                  <c:v>2113</c:v>
                </c:pt>
                <c:pt idx="267">
                  <c:v>2117.75</c:v>
                </c:pt>
                <c:pt idx="268">
                  <c:v>2128.25</c:v>
                </c:pt>
                <c:pt idx="269">
                  <c:v>2143.5</c:v>
                </c:pt>
                <c:pt idx="270">
                  <c:v>2146.25</c:v>
                </c:pt>
                <c:pt idx="271">
                  <c:v>2146.25</c:v>
                </c:pt>
                <c:pt idx="272">
                  <c:v>2146.25</c:v>
                </c:pt>
                <c:pt idx="273">
                  <c:v>2119.5</c:v>
                </c:pt>
                <c:pt idx="274">
                  <c:v>2138.5</c:v>
                </c:pt>
                <c:pt idx="275">
                  <c:v>2152.5</c:v>
                </c:pt>
                <c:pt idx="276">
                  <c:v>2173.25</c:v>
                </c:pt>
                <c:pt idx="277">
                  <c:v>2151</c:v>
                </c:pt>
                <c:pt idx="278">
                  <c:v>2151</c:v>
                </c:pt>
                <c:pt idx="279">
                  <c:v>2151</c:v>
                </c:pt>
                <c:pt idx="280">
                  <c:v>2193.25</c:v>
                </c:pt>
                <c:pt idx="281">
                  <c:v>2211.5</c:v>
                </c:pt>
                <c:pt idx="282">
                  <c:v>2223.5</c:v>
                </c:pt>
                <c:pt idx="283">
                  <c:v>2212</c:v>
                </c:pt>
                <c:pt idx="284">
                  <c:v>2212</c:v>
                </c:pt>
                <c:pt idx="285">
                  <c:v>2212</c:v>
                </c:pt>
                <c:pt idx="286">
                  <c:v>2212</c:v>
                </c:pt>
                <c:pt idx="287">
                  <c:v>2209.25</c:v>
                </c:pt>
                <c:pt idx="288">
                  <c:v>2213</c:v>
                </c:pt>
                <c:pt idx="289">
                  <c:v>2247.5</c:v>
                </c:pt>
                <c:pt idx="290">
                  <c:v>2248</c:v>
                </c:pt>
                <c:pt idx="291">
                  <c:v>2249.75</c:v>
                </c:pt>
                <c:pt idx="292">
                  <c:v>2249.75</c:v>
                </c:pt>
              </c:numCache>
            </c:numRef>
          </c:val>
        </c:ser>
        <c:marker val="1"/>
        <c:axId val="122435072"/>
        <c:axId val="122436608"/>
      </c:lineChart>
      <c:dateAx>
        <c:axId val="121813248"/>
        <c:scaling>
          <c:orientation val="minMax"/>
        </c:scaling>
        <c:axPos val="b"/>
        <c:numFmt formatCode="yy/m" sourceLinked="0"/>
        <c:tickLblPos val="nextTo"/>
        <c:txPr>
          <a:bodyPr rot="-2700000"/>
          <a:lstStyle/>
          <a:p>
            <a:pPr>
              <a:defRPr sz="800"/>
            </a:pPr>
            <a:endParaRPr lang="zh-CN"/>
          </a:p>
        </c:txPr>
        <c:crossAx val="122433536"/>
        <c:crosses val="autoZero"/>
        <c:auto val="1"/>
        <c:lblOffset val="100"/>
        <c:majorUnit val="1"/>
      </c:dateAx>
      <c:valAx>
        <c:axId val="122433536"/>
        <c:scaling>
          <c:orientation val="minMax"/>
          <c:max val="350000"/>
          <c:min val="150000"/>
        </c:scaling>
        <c:axPos val="l"/>
        <c:majorGridlines/>
        <c:numFmt formatCode="#,##0_ " sourceLinked="0"/>
        <c:tickLblPos val="nextTo"/>
        <c:txPr>
          <a:bodyPr/>
          <a:lstStyle/>
          <a:p>
            <a:pPr>
              <a:defRPr sz="800"/>
            </a:pPr>
            <a:endParaRPr lang="zh-CN"/>
          </a:p>
        </c:txPr>
        <c:crossAx val="121813248"/>
        <c:crosses val="autoZero"/>
        <c:crossBetween val="between"/>
        <c:majorUnit val="50000"/>
      </c:valAx>
      <c:dateAx>
        <c:axId val="122435072"/>
        <c:scaling>
          <c:orientation val="minMax"/>
        </c:scaling>
        <c:delete val="1"/>
        <c:axPos val="b"/>
        <c:numFmt formatCode="yyyy/m/d" sourceLinked="1"/>
        <c:tickLblPos val="none"/>
        <c:crossAx val="122436608"/>
        <c:crosses val="autoZero"/>
        <c:auto val="1"/>
        <c:lblOffset val="100"/>
      </c:dateAx>
      <c:valAx>
        <c:axId val="122436608"/>
        <c:scaling>
          <c:orientation val="minMax"/>
          <c:max val="2400"/>
          <c:min val="1900"/>
        </c:scaling>
        <c:axPos val="r"/>
        <c:numFmt formatCode="#,##0_ " sourceLinked="0"/>
        <c:tickLblPos val="nextTo"/>
        <c:txPr>
          <a:bodyPr/>
          <a:lstStyle/>
          <a:p>
            <a:pPr>
              <a:defRPr sz="800"/>
            </a:pPr>
            <a:endParaRPr lang="zh-CN"/>
          </a:p>
        </c:txPr>
        <c:crossAx val="122435072"/>
        <c:crosses val="max"/>
        <c:crossBetween val="between"/>
      </c:valAx>
    </c:plotArea>
    <c:legend>
      <c:legendPos val="r"/>
      <c:layout>
        <c:manualLayout>
          <c:xMode val="edge"/>
          <c:yMode val="edge"/>
          <c:x val="9.7103210288128933E-2"/>
          <c:y val="1.3006487396622849E-3"/>
          <c:w val="0.77813202319069463"/>
          <c:h val="0.11252810379834595"/>
        </c:manualLayout>
      </c:layout>
      <c:txPr>
        <a:bodyPr/>
        <a:lstStyle/>
        <a:p>
          <a:pPr>
            <a:defRPr sz="800"/>
          </a:pPr>
          <a:endParaRPr lang="zh-CN"/>
        </a:p>
      </c:txPr>
    </c:legend>
    <c:plotVisOnly val="1"/>
    <c:dispBlanksAs val="zero"/>
  </c:chart>
  <c:spPr>
    <a:solidFill>
      <a:schemeClr val="bg1"/>
    </a:solidFill>
    <a:ln>
      <a:noFill/>
    </a:ln>
  </c:spPr>
  <c:txPr>
    <a:bodyPr/>
    <a:lstStyle/>
    <a:p>
      <a:pPr>
        <a:defRPr sz="900"/>
      </a:pPr>
      <a:endParaRPr lang="zh-CN"/>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6591757506634791"/>
          <c:y val="0.13465181003317966"/>
          <c:w val="0.7432436265801049"/>
          <c:h val="0.66863130787896852"/>
        </c:manualLayout>
      </c:layout>
      <c:areaChart>
        <c:grouping val="stacked"/>
        <c:ser>
          <c:idx val="0"/>
          <c:order val="0"/>
          <c:tx>
            <c:strRef>
              <c:f>金属库存及仓单工作区!$V$2</c:f>
              <c:strCache>
                <c:ptCount val="1"/>
                <c:pt idx="0">
                  <c:v>伦敦铅库存</c:v>
                </c:pt>
              </c:strCache>
            </c:strRef>
          </c:tx>
          <c:cat>
            <c:numRef>
              <c:f>金属库存及仓单工作区!$K$4:$K$296</c:f>
              <c:numCache>
                <c:formatCode>yyyy/m/d</c:formatCode>
                <c:ptCount val="293"/>
                <c:pt idx="0">
                  <c:v>41795</c:v>
                </c:pt>
                <c:pt idx="1">
                  <c:v>41794</c:v>
                </c:pt>
                <c:pt idx="2">
                  <c:v>41793</c:v>
                </c:pt>
                <c:pt idx="3">
                  <c:v>41792</c:v>
                </c:pt>
                <c:pt idx="4">
                  <c:v>41791</c:v>
                </c:pt>
                <c:pt idx="5">
                  <c:v>41790</c:v>
                </c:pt>
                <c:pt idx="6">
                  <c:v>41789</c:v>
                </c:pt>
                <c:pt idx="7">
                  <c:v>41788</c:v>
                </c:pt>
                <c:pt idx="8">
                  <c:v>41787</c:v>
                </c:pt>
                <c:pt idx="9">
                  <c:v>41786</c:v>
                </c:pt>
                <c:pt idx="10">
                  <c:v>41785</c:v>
                </c:pt>
                <c:pt idx="11">
                  <c:v>41784</c:v>
                </c:pt>
                <c:pt idx="12">
                  <c:v>41783</c:v>
                </c:pt>
                <c:pt idx="13">
                  <c:v>41782</c:v>
                </c:pt>
                <c:pt idx="14">
                  <c:v>41781</c:v>
                </c:pt>
                <c:pt idx="15">
                  <c:v>41780</c:v>
                </c:pt>
                <c:pt idx="16">
                  <c:v>41779</c:v>
                </c:pt>
                <c:pt idx="17">
                  <c:v>41778</c:v>
                </c:pt>
                <c:pt idx="18">
                  <c:v>41777</c:v>
                </c:pt>
                <c:pt idx="19">
                  <c:v>41776</c:v>
                </c:pt>
                <c:pt idx="20">
                  <c:v>41775</c:v>
                </c:pt>
                <c:pt idx="21">
                  <c:v>41774</c:v>
                </c:pt>
                <c:pt idx="22">
                  <c:v>41773</c:v>
                </c:pt>
                <c:pt idx="23">
                  <c:v>41772</c:v>
                </c:pt>
                <c:pt idx="24">
                  <c:v>41771</c:v>
                </c:pt>
                <c:pt idx="25">
                  <c:v>41770</c:v>
                </c:pt>
                <c:pt idx="26">
                  <c:v>41769</c:v>
                </c:pt>
                <c:pt idx="27">
                  <c:v>41768</c:v>
                </c:pt>
                <c:pt idx="28">
                  <c:v>41767</c:v>
                </c:pt>
                <c:pt idx="29">
                  <c:v>41766</c:v>
                </c:pt>
                <c:pt idx="30">
                  <c:v>41765</c:v>
                </c:pt>
                <c:pt idx="31">
                  <c:v>41764</c:v>
                </c:pt>
                <c:pt idx="32">
                  <c:v>41763</c:v>
                </c:pt>
                <c:pt idx="33">
                  <c:v>41762</c:v>
                </c:pt>
                <c:pt idx="34">
                  <c:v>41761</c:v>
                </c:pt>
                <c:pt idx="35">
                  <c:v>41760</c:v>
                </c:pt>
                <c:pt idx="36">
                  <c:v>41759</c:v>
                </c:pt>
                <c:pt idx="37">
                  <c:v>41758</c:v>
                </c:pt>
                <c:pt idx="38">
                  <c:v>41757</c:v>
                </c:pt>
                <c:pt idx="39">
                  <c:v>41756</c:v>
                </c:pt>
                <c:pt idx="40">
                  <c:v>41755</c:v>
                </c:pt>
                <c:pt idx="41">
                  <c:v>41754</c:v>
                </c:pt>
                <c:pt idx="42">
                  <c:v>41753</c:v>
                </c:pt>
                <c:pt idx="43">
                  <c:v>41752</c:v>
                </c:pt>
                <c:pt idx="44">
                  <c:v>41751</c:v>
                </c:pt>
                <c:pt idx="45">
                  <c:v>41750</c:v>
                </c:pt>
                <c:pt idx="46">
                  <c:v>41749</c:v>
                </c:pt>
                <c:pt idx="47">
                  <c:v>41748</c:v>
                </c:pt>
                <c:pt idx="48">
                  <c:v>41747</c:v>
                </c:pt>
                <c:pt idx="49">
                  <c:v>41746</c:v>
                </c:pt>
                <c:pt idx="50">
                  <c:v>41745</c:v>
                </c:pt>
                <c:pt idx="51">
                  <c:v>41744</c:v>
                </c:pt>
                <c:pt idx="52">
                  <c:v>41743</c:v>
                </c:pt>
                <c:pt idx="53">
                  <c:v>41742</c:v>
                </c:pt>
                <c:pt idx="54">
                  <c:v>41741</c:v>
                </c:pt>
                <c:pt idx="55">
                  <c:v>41740</c:v>
                </c:pt>
                <c:pt idx="56">
                  <c:v>41739</c:v>
                </c:pt>
                <c:pt idx="57">
                  <c:v>41738</c:v>
                </c:pt>
                <c:pt idx="58">
                  <c:v>41737</c:v>
                </c:pt>
                <c:pt idx="59">
                  <c:v>41736</c:v>
                </c:pt>
                <c:pt idx="60">
                  <c:v>41735</c:v>
                </c:pt>
                <c:pt idx="61">
                  <c:v>41734</c:v>
                </c:pt>
                <c:pt idx="62">
                  <c:v>41733</c:v>
                </c:pt>
                <c:pt idx="63">
                  <c:v>41732</c:v>
                </c:pt>
                <c:pt idx="64">
                  <c:v>41731</c:v>
                </c:pt>
                <c:pt idx="65">
                  <c:v>41730</c:v>
                </c:pt>
                <c:pt idx="66">
                  <c:v>41729</c:v>
                </c:pt>
                <c:pt idx="67">
                  <c:v>41728</c:v>
                </c:pt>
                <c:pt idx="68">
                  <c:v>41727</c:v>
                </c:pt>
                <c:pt idx="69">
                  <c:v>41726</c:v>
                </c:pt>
                <c:pt idx="70">
                  <c:v>41725</c:v>
                </c:pt>
                <c:pt idx="71">
                  <c:v>41724</c:v>
                </c:pt>
                <c:pt idx="72">
                  <c:v>41723</c:v>
                </c:pt>
                <c:pt idx="73">
                  <c:v>41722</c:v>
                </c:pt>
                <c:pt idx="74">
                  <c:v>41721</c:v>
                </c:pt>
                <c:pt idx="75">
                  <c:v>41720</c:v>
                </c:pt>
                <c:pt idx="76">
                  <c:v>41719</c:v>
                </c:pt>
                <c:pt idx="77">
                  <c:v>41718</c:v>
                </c:pt>
                <c:pt idx="78">
                  <c:v>41717</c:v>
                </c:pt>
                <c:pt idx="79">
                  <c:v>41716</c:v>
                </c:pt>
                <c:pt idx="80">
                  <c:v>41715</c:v>
                </c:pt>
                <c:pt idx="81">
                  <c:v>41714</c:v>
                </c:pt>
                <c:pt idx="82">
                  <c:v>41713</c:v>
                </c:pt>
                <c:pt idx="83">
                  <c:v>41712</c:v>
                </c:pt>
                <c:pt idx="84">
                  <c:v>41711</c:v>
                </c:pt>
                <c:pt idx="85">
                  <c:v>41710</c:v>
                </c:pt>
                <c:pt idx="86">
                  <c:v>41709</c:v>
                </c:pt>
                <c:pt idx="87">
                  <c:v>41708</c:v>
                </c:pt>
                <c:pt idx="88">
                  <c:v>41707</c:v>
                </c:pt>
                <c:pt idx="89">
                  <c:v>41706</c:v>
                </c:pt>
                <c:pt idx="90">
                  <c:v>41705</c:v>
                </c:pt>
                <c:pt idx="91">
                  <c:v>41704</c:v>
                </c:pt>
                <c:pt idx="92">
                  <c:v>41703</c:v>
                </c:pt>
                <c:pt idx="93">
                  <c:v>41702</c:v>
                </c:pt>
                <c:pt idx="94">
                  <c:v>41701</c:v>
                </c:pt>
                <c:pt idx="95">
                  <c:v>41700</c:v>
                </c:pt>
                <c:pt idx="96">
                  <c:v>41699</c:v>
                </c:pt>
                <c:pt idx="97">
                  <c:v>41698</c:v>
                </c:pt>
                <c:pt idx="98">
                  <c:v>41697</c:v>
                </c:pt>
                <c:pt idx="99">
                  <c:v>41696</c:v>
                </c:pt>
                <c:pt idx="100">
                  <c:v>41695</c:v>
                </c:pt>
                <c:pt idx="101">
                  <c:v>41694</c:v>
                </c:pt>
                <c:pt idx="102">
                  <c:v>41693</c:v>
                </c:pt>
                <c:pt idx="103">
                  <c:v>41692</c:v>
                </c:pt>
                <c:pt idx="104">
                  <c:v>41691</c:v>
                </c:pt>
                <c:pt idx="105">
                  <c:v>41690</c:v>
                </c:pt>
                <c:pt idx="106">
                  <c:v>41689</c:v>
                </c:pt>
                <c:pt idx="107">
                  <c:v>41688</c:v>
                </c:pt>
                <c:pt idx="108">
                  <c:v>41687</c:v>
                </c:pt>
                <c:pt idx="109">
                  <c:v>41686</c:v>
                </c:pt>
                <c:pt idx="110">
                  <c:v>41685</c:v>
                </c:pt>
                <c:pt idx="111">
                  <c:v>41684</c:v>
                </c:pt>
                <c:pt idx="112">
                  <c:v>41683</c:v>
                </c:pt>
                <c:pt idx="113">
                  <c:v>41682</c:v>
                </c:pt>
                <c:pt idx="114">
                  <c:v>41681</c:v>
                </c:pt>
                <c:pt idx="115">
                  <c:v>41680</c:v>
                </c:pt>
                <c:pt idx="116">
                  <c:v>41679</c:v>
                </c:pt>
                <c:pt idx="117">
                  <c:v>41678</c:v>
                </c:pt>
                <c:pt idx="118">
                  <c:v>41677</c:v>
                </c:pt>
                <c:pt idx="119">
                  <c:v>41676</c:v>
                </c:pt>
                <c:pt idx="120">
                  <c:v>41675</c:v>
                </c:pt>
                <c:pt idx="121">
                  <c:v>41674</c:v>
                </c:pt>
                <c:pt idx="122">
                  <c:v>41673</c:v>
                </c:pt>
                <c:pt idx="123">
                  <c:v>41672</c:v>
                </c:pt>
                <c:pt idx="124">
                  <c:v>41671</c:v>
                </c:pt>
                <c:pt idx="125">
                  <c:v>41670</c:v>
                </c:pt>
                <c:pt idx="126">
                  <c:v>41669</c:v>
                </c:pt>
                <c:pt idx="127">
                  <c:v>41668</c:v>
                </c:pt>
                <c:pt idx="128">
                  <c:v>41667</c:v>
                </c:pt>
                <c:pt idx="129">
                  <c:v>41666</c:v>
                </c:pt>
                <c:pt idx="130">
                  <c:v>41665</c:v>
                </c:pt>
                <c:pt idx="131">
                  <c:v>41664</c:v>
                </c:pt>
                <c:pt idx="132">
                  <c:v>41663</c:v>
                </c:pt>
                <c:pt idx="133">
                  <c:v>41662</c:v>
                </c:pt>
                <c:pt idx="134">
                  <c:v>41661</c:v>
                </c:pt>
                <c:pt idx="135">
                  <c:v>41660</c:v>
                </c:pt>
                <c:pt idx="136">
                  <c:v>41659</c:v>
                </c:pt>
                <c:pt idx="137">
                  <c:v>41658</c:v>
                </c:pt>
                <c:pt idx="138">
                  <c:v>41657</c:v>
                </c:pt>
                <c:pt idx="139">
                  <c:v>41656</c:v>
                </c:pt>
                <c:pt idx="140">
                  <c:v>41655</c:v>
                </c:pt>
                <c:pt idx="141">
                  <c:v>41654</c:v>
                </c:pt>
                <c:pt idx="142">
                  <c:v>41653</c:v>
                </c:pt>
                <c:pt idx="143">
                  <c:v>41652</c:v>
                </c:pt>
                <c:pt idx="144">
                  <c:v>41651</c:v>
                </c:pt>
                <c:pt idx="145">
                  <c:v>41650</c:v>
                </c:pt>
                <c:pt idx="146">
                  <c:v>41649</c:v>
                </c:pt>
                <c:pt idx="147">
                  <c:v>41648</c:v>
                </c:pt>
                <c:pt idx="148">
                  <c:v>41647</c:v>
                </c:pt>
                <c:pt idx="149">
                  <c:v>41646</c:v>
                </c:pt>
                <c:pt idx="150">
                  <c:v>41645</c:v>
                </c:pt>
                <c:pt idx="151">
                  <c:v>41644</c:v>
                </c:pt>
                <c:pt idx="152">
                  <c:v>41643</c:v>
                </c:pt>
                <c:pt idx="153">
                  <c:v>41642</c:v>
                </c:pt>
                <c:pt idx="154">
                  <c:v>41641</c:v>
                </c:pt>
                <c:pt idx="155">
                  <c:v>41640</c:v>
                </c:pt>
                <c:pt idx="156">
                  <c:v>41639</c:v>
                </c:pt>
                <c:pt idx="157">
                  <c:v>41638</c:v>
                </c:pt>
                <c:pt idx="158">
                  <c:v>41637</c:v>
                </c:pt>
                <c:pt idx="159">
                  <c:v>41636</c:v>
                </c:pt>
                <c:pt idx="160">
                  <c:v>41635</c:v>
                </c:pt>
                <c:pt idx="161">
                  <c:v>41634</c:v>
                </c:pt>
                <c:pt idx="162">
                  <c:v>41633</c:v>
                </c:pt>
                <c:pt idx="163">
                  <c:v>41632</c:v>
                </c:pt>
                <c:pt idx="164">
                  <c:v>41631</c:v>
                </c:pt>
                <c:pt idx="165">
                  <c:v>41630</c:v>
                </c:pt>
                <c:pt idx="166">
                  <c:v>41629</c:v>
                </c:pt>
                <c:pt idx="167">
                  <c:v>41628</c:v>
                </c:pt>
                <c:pt idx="168">
                  <c:v>41627</c:v>
                </c:pt>
                <c:pt idx="169">
                  <c:v>41626</c:v>
                </c:pt>
                <c:pt idx="170">
                  <c:v>41625</c:v>
                </c:pt>
                <c:pt idx="171">
                  <c:v>41624</c:v>
                </c:pt>
                <c:pt idx="172">
                  <c:v>41623</c:v>
                </c:pt>
                <c:pt idx="173">
                  <c:v>41622</c:v>
                </c:pt>
                <c:pt idx="174">
                  <c:v>41621</c:v>
                </c:pt>
                <c:pt idx="175">
                  <c:v>41620</c:v>
                </c:pt>
                <c:pt idx="176">
                  <c:v>41619</c:v>
                </c:pt>
                <c:pt idx="177">
                  <c:v>41618</c:v>
                </c:pt>
                <c:pt idx="178">
                  <c:v>41617</c:v>
                </c:pt>
                <c:pt idx="179">
                  <c:v>41616</c:v>
                </c:pt>
                <c:pt idx="180">
                  <c:v>41615</c:v>
                </c:pt>
                <c:pt idx="181">
                  <c:v>41614</c:v>
                </c:pt>
                <c:pt idx="182">
                  <c:v>41613</c:v>
                </c:pt>
                <c:pt idx="183">
                  <c:v>41612</c:v>
                </c:pt>
                <c:pt idx="184">
                  <c:v>41611</c:v>
                </c:pt>
                <c:pt idx="185">
                  <c:v>41610</c:v>
                </c:pt>
                <c:pt idx="186">
                  <c:v>41609</c:v>
                </c:pt>
                <c:pt idx="187">
                  <c:v>41608</c:v>
                </c:pt>
                <c:pt idx="188">
                  <c:v>41607</c:v>
                </c:pt>
                <c:pt idx="189">
                  <c:v>41606</c:v>
                </c:pt>
                <c:pt idx="190">
                  <c:v>41605</c:v>
                </c:pt>
                <c:pt idx="191">
                  <c:v>41604</c:v>
                </c:pt>
                <c:pt idx="192">
                  <c:v>41603</c:v>
                </c:pt>
                <c:pt idx="193">
                  <c:v>41602</c:v>
                </c:pt>
                <c:pt idx="194">
                  <c:v>41601</c:v>
                </c:pt>
                <c:pt idx="195">
                  <c:v>41600</c:v>
                </c:pt>
                <c:pt idx="196">
                  <c:v>41599</c:v>
                </c:pt>
                <c:pt idx="197">
                  <c:v>41598</c:v>
                </c:pt>
                <c:pt idx="198">
                  <c:v>41597</c:v>
                </c:pt>
                <c:pt idx="199">
                  <c:v>41596</c:v>
                </c:pt>
                <c:pt idx="200">
                  <c:v>41595</c:v>
                </c:pt>
                <c:pt idx="201">
                  <c:v>41594</c:v>
                </c:pt>
                <c:pt idx="202">
                  <c:v>41593</c:v>
                </c:pt>
                <c:pt idx="203">
                  <c:v>41592</c:v>
                </c:pt>
                <c:pt idx="204">
                  <c:v>41591</c:v>
                </c:pt>
                <c:pt idx="205">
                  <c:v>41590</c:v>
                </c:pt>
                <c:pt idx="206">
                  <c:v>41589</c:v>
                </c:pt>
                <c:pt idx="207">
                  <c:v>41588</c:v>
                </c:pt>
                <c:pt idx="208">
                  <c:v>41587</c:v>
                </c:pt>
                <c:pt idx="209">
                  <c:v>41586</c:v>
                </c:pt>
                <c:pt idx="210">
                  <c:v>41585</c:v>
                </c:pt>
                <c:pt idx="211">
                  <c:v>41584</c:v>
                </c:pt>
                <c:pt idx="212">
                  <c:v>41583</c:v>
                </c:pt>
                <c:pt idx="213">
                  <c:v>41582</c:v>
                </c:pt>
                <c:pt idx="214">
                  <c:v>41581</c:v>
                </c:pt>
                <c:pt idx="215">
                  <c:v>41580</c:v>
                </c:pt>
                <c:pt idx="216">
                  <c:v>41579</c:v>
                </c:pt>
                <c:pt idx="217">
                  <c:v>41578</c:v>
                </c:pt>
                <c:pt idx="218">
                  <c:v>41577</c:v>
                </c:pt>
                <c:pt idx="219">
                  <c:v>41576</c:v>
                </c:pt>
                <c:pt idx="220">
                  <c:v>41575</c:v>
                </c:pt>
                <c:pt idx="221">
                  <c:v>41574</c:v>
                </c:pt>
                <c:pt idx="222">
                  <c:v>41573</c:v>
                </c:pt>
                <c:pt idx="223">
                  <c:v>41572</c:v>
                </c:pt>
                <c:pt idx="224">
                  <c:v>41571</c:v>
                </c:pt>
                <c:pt idx="225">
                  <c:v>41570</c:v>
                </c:pt>
                <c:pt idx="226">
                  <c:v>41569</c:v>
                </c:pt>
                <c:pt idx="227">
                  <c:v>41568</c:v>
                </c:pt>
                <c:pt idx="228">
                  <c:v>41567</c:v>
                </c:pt>
                <c:pt idx="229">
                  <c:v>41566</c:v>
                </c:pt>
                <c:pt idx="230">
                  <c:v>41565</c:v>
                </c:pt>
                <c:pt idx="231">
                  <c:v>41564</c:v>
                </c:pt>
                <c:pt idx="232">
                  <c:v>41563</c:v>
                </c:pt>
                <c:pt idx="233">
                  <c:v>41562</c:v>
                </c:pt>
                <c:pt idx="234">
                  <c:v>41561</c:v>
                </c:pt>
                <c:pt idx="235">
                  <c:v>41560</c:v>
                </c:pt>
                <c:pt idx="236">
                  <c:v>41559</c:v>
                </c:pt>
                <c:pt idx="237">
                  <c:v>41558</c:v>
                </c:pt>
                <c:pt idx="238">
                  <c:v>41557</c:v>
                </c:pt>
                <c:pt idx="239">
                  <c:v>41556</c:v>
                </c:pt>
                <c:pt idx="240">
                  <c:v>41555</c:v>
                </c:pt>
                <c:pt idx="241">
                  <c:v>41554</c:v>
                </c:pt>
                <c:pt idx="242">
                  <c:v>41553</c:v>
                </c:pt>
                <c:pt idx="243">
                  <c:v>41552</c:v>
                </c:pt>
                <c:pt idx="244">
                  <c:v>41551</c:v>
                </c:pt>
                <c:pt idx="245">
                  <c:v>41550</c:v>
                </c:pt>
                <c:pt idx="246">
                  <c:v>41549</c:v>
                </c:pt>
                <c:pt idx="247">
                  <c:v>41548</c:v>
                </c:pt>
                <c:pt idx="248">
                  <c:v>41547</c:v>
                </c:pt>
                <c:pt idx="249">
                  <c:v>41546</c:v>
                </c:pt>
                <c:pt idx="250">
                  <c:v>41545</c:v>
                </c:pt>
                <c:pt idx="251">
                  <c:v>41544</c:v>
                </c:pt>
                <c:pt idx="252">
                  <c:v>41543</c:v>
                </c:pt>
                <c:pt idx="253">
                  <c:v>41542</c:v>
                </c:pt>
                <c:pt idx="254">
                  <c:v>41541</c:v>
                </c:pt>
                <c:pt idx="255">
                  <c:v>41540</c:v>
                </c:pt>
                <c:pt idx="256">
                  <c:v>41539</c:v>
                </c:pt>
                <c:pt idx="257">
                  <c:v>41538</c:v>
                </c:pt>
                <c:pt idx="258">
                  <c:v>41537</c:v>
                </c:pt>
                <c:pt idx="259">
                  <c:v>41536</c:v>
                </c:pt>
                <c:pt idx="260">
                  <c:v>41535</c:v>
                </c:pt>
                <c:pt idx="261">
                  <c:v>41534</c:v>
                </c:pt>
                <c:pt idx="262">
                  <c:v>41533</c:v>
                </c:pt>
                <c:pt idx="263">
                  <c:v>41532</c:v>
                </c:pt>
                <c:pt idx="264">
                  <c:v>41531</c:v>
                </c:pt>
                <c:pt idx="265">
                  <c:v>41530</c:v>
                </c:pt>
                <c:pt idx="266">
                  <c:v>41529</c:v>
                </c:pt>
                <c:pt idx="267">
                  <c:v>41528</c:v>
                </c:pt>
                <c:pt idx="268">
                  <c:v>41527</c:v>
                </c:pt>
                <c:pt idx="269">
                  <c:v>41526</c:v>
                </c:pt>
                <c:pt idx="270">
                  <c:v>41525</c:v>
                </c:pt>
                <c:pt idx="271">
                  <c:v>41524</c:v>
                </c:pt>
                <c:pt idx="272">
                  <c:v>41523</c:v>
                </c:pt>
                <c:pt idx="273">
                  <c:v>41522</c:v>
                </c:pt>
                <c:pt idx="274">
                  <c:v>41521</c:v>
                </c:pt>
                <c:pt idx="275">
                  <c:v>41520</c:v>
                </c:pt>
                <c:pt idx="276">
                  <c:v>41519</c:v>
                </c:pt>
                <c:pt idx="277">
                  <c:v>41518</c:v>
                </c:pt>
                <c:pt idx="278">
                  <c:v>41517</c:v>
                </c:pt>
                <c:pt idx="279">
                  <c:v>41516</c:v>
                </c:pt>
                <c:pt idx="280">
                  <c:v>41515</c:v>
                </c:pt>
                <c:pt idx="281">
                  <c:v>41514</c:v>
                </c:pt>
                <c:pt idx="282">
                  <c:v>41513</c:v>
                </c:pt>
                <c:pt idx="283">
                  <c:v>41512</c:v>
                </c:pt>
                <c:pt idx="284">
                  <c:v>41511</c:v>
                </c:pt>
                <c:pt idx="285">
                  <c:v>41510</c:v>
                </c:pt>
                <c:pt idx="286">
                  <c:v>41509</c:v>
                </c:pt>
                <c:pt idx="287">
                  <c:v>41508</c:v>
                </c:pt>
                <c:pt idx="288">
                  <c:v>41507</c:v>
                </c:pt>
                <c:pt idx="289">
                  <c:v>41506</c:v>
                </c:pt>
                <c:pt idx="290">
                  <c:v>41505</c:v>
                </c:pt>
                <c:pt idx="291">
                  <c:v>41504</c:v>
                </c:pt>
                <c:pt idx="292">
                  <c:v>41503</c:v>
                </c:pt>
              </c:numCache>
            </c:numRef>
          </c:cat>
          <c:val>
            <c:numRef>
              <c:f>金属库存及仓单工作区!$V$4:$V$296</c:f>
              <c:numCache>
                <c:formatCode>0_);[Red]\(0\)</c:formatCode>
                <c:ptCount val="293"/>
                <c:pt idx="0">
                  <c:v>190375</c:v>
                </c:pt>
                <c:pt idx="1">
                  <c:v>190425</c:v>
                </c:pt>
                <c:pt idx="2">
                  <c:v>190425</c:v>
                </c:pt>
                <c:pt idx="3">
                  <c:v>190475</c:v>
                </c:pt>
                <c:pt idx="4">
                  <c:v>190475</c:v>
                </c:pt>
                <c:pt idx="5">
                  <c:v>190475</c:v>
                </c:pt>
                <c:pt idx="6">
                  <c:v>190475</c:v>
                </c:pt>
                <c:pt idx="7">
                  <c:v>190850</c:v>
                </c:pt>
                <c:pt idx="8">
                  <c:v>191950</c:v>
                </c:pt>
                <c:pt idx="9">
                  <c:v>192500</c:v>
                </c:pt>
                <c:pt idx="10">
                  <c:v>192275</c:v>
                </c:pt>
                <c:pt idx="11">
                  <c:v>192275</c:v>
                </c:pt>
                <c:pt idx="12">
                  <c:v>192275</c:v>
                </c:pt>
                <c:pt idx="13">
                  <c:v>192275</c:v>
                </c:pt>
                <c:pt idx="14">
                  <c:v>192275</c:v>
                </c:pt>
                <c:pt idx="15">
                  <c:v>192375</c:v>
                </c:pt>
                <c:pt idx="16">
                  <c:v>192175</c:v>
                </c:pt>
                <c:pt idx="17">
                  <c:v>192175</c:v>
                </c:pt>
                <c:pt idx="18">
                  <c:v>190950</c:v>
                </c:pt>
                <c:pt idx="19">
                  <c:v>190950</c:v>
                </c:pt>
                <c:pt idx="20">
                  <c:v>190950</c:v>
                </c:pt>
                <c:pt idx="21">
                  <c:v>191225</c:v>
                </c:pt>
                <c:pt idx="22">
                  <c:v>192175</c:v>
                </c:pt>
                <c:pt idx="23">
                  <c:v>193675</c:v>
                </c:pt>
                <c:pt idx="24">
                  <c:v>193475</c:v>
                </c:pt>
                <c:pt idx="25">
                  <c:v>193475</c:v>
                </c:pt>
                <c:pt idx="26">
                  <c:v>193475</c:v>
                </c:pt>
                <c:pt idx="27">
                  <c:v>193475</c:v>
                </c:pt>
                <c:pt idx="28">
                  <c:v>193475</c:v>
                </c:pt>
                <c:pt idx="29">
                  <c:v>193600</c:v>
                </c:pt>
                <c:pt idx="30">
                  <c:v>193825</c:v>
                </c:pt>
                <c:pt idx="31">
                  <c:v>193875</c:v>
                </c:pt>
                <c:pt idx="32">
                  <c:v>193875</c:v>
                </c:pt>
                <c:pt idx="33">
                  <c:v>193875</c:v>
                </c:pt>
                <c:pt idx="34">
                  <c:v>193875</c:v>
                </c:pt>
                <c:pt idx="35">
                  <c:v>193875</c:v>
                </c:pt>
                <c:pt idx="36">
                  <c:v>193625</c:v>
                </c:pt>
                <c:pt idx="37">
                  <c:v>192975</c:v>
                </c:pt>
                <c:pt idx="38">
                  <c:v>192975</c:v>
                </c:pt>
                <c:pt idx="39">
                  <c:v>193275</c:v>
                </c:pt>
                <c:pt idx="40">
                  <c:v>193275</c:v>
                </c:pt>
                <c:pt idx="41">
                  <c:v>193275</c:v>
                </c:pt>
                <c:pt idx="42">
                  <c:v>194775</c:v>
                </c:pt>
                <c:pt idx="43">
                  <c:v>196275</c:v>
                </c:pt>
                <c:pt idx="44">
                  <c:v>198725</c:v>
                </c:pt>
                <c:pt idx="45">
                  <c:v>200400</c:v>
                </c:pt>
                <c:pt idx="46">
                  <c:v>200400</c:v>
                </c:pt>
                <c:pt idx="47">
                  <c:v>200400</c:v>
                </c:pt>
                <c:pt idx="48">
                  <c:v>200400</c:v>
                </c:pt>
                <c:pt idx="49">
                  <c:v>200400</c:v>
                </c:pt>
                <c:pt idx="50">
                  <c:v>202075</c:v>
                </c:pt>
                <c:pt idx="51">
                  <c:v>202300</c:v>
                </c:pt>
                <c:pt idx="52">
                  <c:v>202400</c:v>
                </c:pt>
                <c:pt idx="53">
                  <c:v>202400</c:v>
                </c:pt>
                <c:pt idx="54">
                  <c:v>202400</c:v>
                </c:pt>
                <c:pt idx="55">
                  <c:v>202400</c:v>
                </c:pt>
                <c:pt idx="56">
                  <c:v>202400</c:v>
                </c:pt>
                <c:pt idx="57">
                  <c:v>202400</c:v>
                </c:pt>
                <c:pt idx="58">
                  <c:v>202400</c:v>
                </c:pt>
                <c:pt idx="59">
                  <c:v>202025</c:v>
                </c:pt>
                <c:pt idx="60">
                  <c:v>202025</c:v>
                </c:pt>
                <c:pt idx="61">
                  <c:v>202025</c:v>
                </c:pt>
                <c:pt idx="62">
                  <c:v>202025</c:v>
                </c:pt>
                <c:pt idx="63">
                  <c:v>201650</c:v>
                </c:pt>
                <c:pt idx="64">
                  <c:v>201650</c:v>
                </c:pt>
                <c:pt idx="65">
                  <c:v>201650</c:v>
                </c:pt>
                <c:pt idx="66">
                  <c:v>200325</c:v>
                </c:pt>
                <c:pt idx="67">
                  <c:v>200375</c:v>
                </c:pt>
                <c:pt idx="68">
                  <c:v>200375</c:v>
                </c:pt>
                <c:pt idx="69">
                  <c:v>200375</c:v>
                </c:pt>
                <c:pt idx="70">
                  <c:v>200400</c:v>
                </c:pt>
                <c:pt idx="71">
                  <c:v>200625</c:v>
                </c:pt>
                <c:pt idx="72">
                  <c:v>200700</c:v>
                </c:pt>
                <c:pt idx="73">
                  <c:v>200700</c:v>
                </c:pt>
                <c:pt idx="74">
                  <c:v>200700</c:v>
                </c:pt>
                <c:pt idx="75">
                  <c:v>200700</c:v>
                </c:pt>
                <c:pt idx="76">
                  <c:v>200700</c:v>
                </c:pt>
                <c:pt idx="77">
                  <c:v>200700</c:v>
                </c:pt>
                <c:pt idx="78">
                  <c:v>201050</c:v>
                </c:pt>
                <c:pt idx="79">
                  <c:v>201675</c:v>
                </c:pt>
                <c:pt idx="80">
                  <c:v>202075</c:v>
                </c:pt>
                <c:pt idx="81">
                  <c:v>201850</c:v>
                </c:pt>
                <c:pt idx="82">
                  <c:v>201850</c:v>
                </c:pt>
                <c:pt idx="83">
                  <c:v>201850</c:v>
                </c:pt>
                <c:pt idx="84">
                  <c:v>202400</c:v>
                </c:pt>
                <c:pt idx="85">
                  <c:v>203100</c:v>
                </c:pt>
                <c:pt idx="86">
                  <c:v>203325</c:v>
                </c:pt>
                <c:pt idx="87">
                  <c:v>203800</c:v>
                </c:pt>
                <c:pt idx="88">
                  <c:v>203975</c:v>
                </c:pt>
                <c:pt idx="89">
                  <c:v>203975</c:v>
                </c:pt>
                <c:pt idx="90">
                  <c:v>203975</c:v>
                </c:pt>
                <c:pt idx="91">
                  <c:v>203975</c:v>
                </c:pt>
                <c:pt idx="92">
                  <c:v>202650</c:v>
                </c:pt>
                <c:pt idx="93">
                  <c:v>202775</c:v>
                </c:pt>
                <c:pt idx="94">
                  <c:v>202775</c:v>
                </c:pt>
                <c:pt idx="95">
                  <c:v>202225</c:v>
                </c:pt>
                <c:pt idx="96">
                  <c:v>202225</c:v>
                </c:pt>
                <c:pt idx="97">
                  <c:v>202225</c:v>
                </c:pt>
                <c:pt idx="98">
                  <c:v>202425</c:v>
                </c:pt>
                <c:pt idx="99">
                  <c:v>202575</c:v>
                </c:pt>
                <c:pt idx="100">
                  <c:v>201350</c:v>
                </c:pt>
                <c:pt idx="101">
                  <c:v>201350</c:v>
                </c:pt>
                <c:pt idx="102">
                  <c:v>201350</c:v>
                </c:pt>
                <c:pt idx="103">
                  <c:v>201350</c:v>
                </c:pt>
                <c:pt idx="104">
                  <c:v>201350</c:v>
                </c:pt>
                <c:pt idx="105">
                  <c:v>201275</c:v>
                </c:pt>
                <c:pt idx="106">
                  <c:v>201875</c:v>
                </c:pt>
                <c:pt idx="107">
                  <c:v>202925</c:v>
                </c:pt>
                <c:pt idx="108">
                  <c:v>203425</c:v>
                </c:pt>
                <c:pt idx="109">
                  <c:v>203925</c:v>
                </c:pt>
                <c:pt idx="110">
                  <c:v>203925</c:v>
                </c:pt>
                <c:pt idx="111">
                  <c:v>203925</c:v>
                </c:pt>
                <c:pt idx="112">
                  <c:v>204425</c:v>
                </c:pt>
                <c:pt idx="113">
                  <c:v>204925</c:v>
                </c:pt>
                <c:pt idx="114">
                  <c:v>205425</c:v>
                </c:pt>
                <c:pt idx="115">
                  <c:v>205925</c:v>
                </c:pt>
                <c:pt idx="116">
                  <c:v>206425</c:v>
                </c:pt>
                <c:pt idx="117">
                  <c:v>206425</c:v>
                </c:pt>
                <c:pt idx="118">
                  <c:v>206425</c:v>
                </c:pt>
                <c:pt idx="119">
                  <c:v>206925</c:v>
                </c:pt>
                <c:pt idx="120">
                  <c:v>207425</c:v>
                </c:pt>
                <c:pt idx="121">
                  <c:v>207925</c:v>
                </c:pt>
                <c:pt idx="122">
                  <c:v>208425</c:v>
                </c:pt>
                <c:pt idx="123">
                  <c:v>208475</c:v>
                </c:pt>
                <c:pt idx="124">
                  <c:v>208475</c:v>
                </c:pt>
                <c:pt idx="125">
                  <c:v>208475</c:v>
                </c:pt>
                <c:pt idx="126">
                  <c:v>208975</c:v>
                </c:pt>
                <c:pt idx="127">
                  <c:v>209475</c:v>
                </c:pt>
                <c:pt idx="128">
                  <c:v>209175</c:v>
                </c:pt>
                <c:pt idx="129">
                  <c:v>209675</c:v>
                </c:pt>
                <c:pt idx="130">
                  <c:v>207575</c:v>
                </c:pt>
                <c:pt idx="131">
                  <c:v>207575</c:v>
                </c:pt>
                <c:pt idx="132">
                  <c:v>207575</c:v>
                </c:pt>
                <c:pt idx="133">
                  <c:v>207950</c:v>
                </c:pt>
                <c:pt idx="134">
                  <c:v>208850</c:v>
                </c:pt>
                <c:pt idx="135">
                  <c:v>209450</c:v>
                </c:pt>
                <c:pt idx="136">
                  <c:v>209250</c:v>
                </c:pt>
                <c:pt idx="137">
                  <c:v>209750</c:v>
                </c:pt>
                <c:pt idx="138">
                  <c:v>209750</c:v>
                </c:pt>
                <c:pt idx="139">
                  <c:v>209750</c:v>
                </c:pt>
                <c:pt idx="140">
                  <c:v>211000</c:v>
                </c:pt>
                <c:pt idx="141">
                  <c:v>211500</c:v>
                </c:pt>
                <c:pt idx="142">
                  <c:v>212000</c:v>
                </c:pt>
                <c:pt idx="143">
                  <c:v>212500</c:v>
                </c:pt>
                <c:pt idx="144">
                  <c:v>213000</c:v>
                </c:pt>
                <c:pt idx="145">
                  <c:v>213000</c:v>
                </c:pt>
                <c:pt idx="146">
                  <c:v>213000</c:v>
                </c:pt>
                <c:pt idx="147">
                  <c:v>213500</c:v>
                </c:pt>
                <c:pt idx="148">
                  <c:v>214000</c:v>
                </c:pt>
                <c:pt idx="149">
                  <c:v>214500</c:v>
                </c:pt>
                <c:pt idx="150">
                  <c:v>215000</c:v>
                </c:pt>
                <c:pt idx="151">
                  <c:v>215200</c:v>
                </c:pt>
                <c:pt idx="152">
                  <c:v>215200</c:v>
                </c:pt>
                <c:pt idx="153">
                  <c:v>215200</c:v>
                </c:pt>
                <c:pt idx="154">
                  <c:v>213950</c:v>
                </c:pt>
                <c:pt idx="155">
                  <c:v>214450</c:v>
                </c:pt>
                <c:pt idx="156">
                  <c:v>214450</c:v>
                </c:pt>
                <c:pt idx="157">
                  <c:v>214950</c:v>
                </c:pt>
                <c:pt idx="158">
                  <c:v>214950</c:v>
                </c:pt>
                <c:pt idx="159">
                  <c:v>214950</c:v>
                </c:pt>
                <c:pt idx="160">
                  <c:v>214950</c:v>
                </c:pt>
                <c:pt idx="161">
                  <c:v>215450</c:v>
                </c:pt>
                <c:pt idx="162">
                  <c:v>215450</c:v>
                </c:pt>
                <c:pt idx="163">
                  <c:v>215450</c:v>
                </c:pt>
                <c:pt idx="164">
                  <c:v>216450</c:v>
                </c:pt>
                <c:pt idx="165">
                  <c:v>216950</c:v>
                </c:pt>
                <c:pt idx="166">
                  <c:v>216950</c:v>
                </c:pt>
                <c:pt idx="167">
                  <c:v>216950</c:v>
                </c:pt>
                <c:pt idx="168">
                  <c:v>217475</c:v>
                </c:pt>
                <c:pt idx="169">
                  <c:v>219100</c:v>
                </c:pt>
                <c:pt idx="170">
                  <c:v>220150</c:v>
                </c:pt>
                <c:pt idx="171">
                  <c:v>221175</c:v>
                </c:pt>
                <c:pt idx="172">
                  <c:v>222150</c:v>
                </c:pt>
                <c:pt idx="173">
                  <c:v>222150</c:v>
                </c:pt>
                <c:pt idx="174">
                  <c:v>222150</c:v>
                </c:pt>
                <c:pt idx="175">
                  <c:v>223250</c:v>
                </c:pt>
                <c:pt idx="176">
                  <c:v>224375</c:v>
                </c:pt>
                <c:pt idx="177">
                  <c:v>225950</c:v>
                </c:pt>
                <c:pt idx="178">
                  <c:v>226950</c:v>
                </c:pt>
                <c:pt idx="179">
                  <c:v>227925</c:v>
                </c:pt>
                <c:pt idx="180">
                  <c:v>227925</c:v>
                </c:pt>
                <c:pt idx="181">
                  <c:v>227925</c:v>
                </c:pt>
                <c:pt idx="182">
                  <c:v>228925</c:v>
                </c:pt>
                <c:pt idx="183">
                  <c:v>229450</c:v>
                </c:pt>
                <c:pt idx="184">
                  <c:v>229950</c:v>
                </c:pt>
                <c:pt idx="185">
                  <c:v>230175</c:v>
                </c:pt>
                <c:pt idx="186">
                  <c:v>231375</c:v>
                </c:pt>
                <c:pt idx="187">
                  <c:v>231375</c:v>
                </c:pt>
                <c:pt idx="188">
                  <c:v>231375</c:v>
                </c:pt>
                <c:pt idx="189">
                  <c:v>231875</c:v>
                </c:pt>
                <c:pt idx="190">
                  <c:v>232375</c:v>
                </c:pt>
                <c:pt idx="191">
                  <c:v>232900</c:v>
                </c:pt>
                <c:pt idx="192">
                  <c:v>233625</c:v>
                </c:pt>
                <c:pt idx="193">
                  <c:v>233825</c:v>
                </c:pt>
                <c:pt idx="194">
                  <c:v>233825</c:v>
                </c:pt>
                <c:pt idx="195">
                  <c:v>233825</c:v>
                </c:pt>
                <c:pt idx="196">
                  <c:v>234125</c:v>
                </c:pt>
                <c:pt idx="197">
                  <c:v>234900</c:v>
                </c:pt>
                <c:pt idx="198">
                  <c:v>235425</c:v>
                </c:pt>
                <c:pt idx="199">
                  <c:v>236125</c:v>
                </c:pt>
                <c:pt idx="200">
                  <c:v>236675</c:v>
                </c:pt>
                <c:pt idx="201">
                  <c:v>236675</c:v>
                </c:pt>
                <c:pt idx="202">
                  <c:v>236675</c:v>
                </c:pt>
                <c:pt idx="203">
                  <c:v>236675</c:v>
                </c:pt>
                <c:pt idx="204">
                  <c:v>236675</c:v>
                </c:pt>
                <c:pt idx="205">
                  <c:v>233000</c:v>
                </c:pt>
                <c:pt idx="206">
                  <c:v>233000</c:v>
                </c:pt>
                <c:pt idx="207">
                  <c:v>233000</c:v>
                </c:pt>
                <c:pt idx="208">
                  <c:v>233000</c:v>
                </c:pt>
                <c:pt idx="209">
                  <c:v>233000</c:v>
                </c:pt>
                <c:pt idx="210">
                  <c:v>233150</c:v>
                </c:pt>
                <c:pt idx="211">
                  <c:v>233150</c:v>
                </c:pt>
                <c:pt idx="212">
                  <c:v>233150</c:v>
                </c:pt>
                <c:pt idx="213">
                  <c:v>233150</c:v>
                </c:pt>
                <c:pt idx="214">
                  <c:v>233200</c:v>
                </c:pt>
                <c:pt idx="215">
                  <c:v>233200</c:v>
                </c:pt>
                <c:pt idx="216">
                  <c:v>233200</c:v>
                </c:pt>
                <c:pt idx="217">
                  <c:v>232925</c:v>
                </c:pt>
                <c:pt idx="218">
                  <c:v>232925</c:v>
                </c:pt>
                <c:pt idx="219">
                  <c:v>232925</c:v>
                </c:pt>
                <c:pt idx="220">
                  <c:v>232925</c:v>
                </c:pt>
                <c:pt idx="221">
                  <c:v>231125</c:v>
                </c:pt>
                <c:pt idx="222">
                  <c:v>231125</c:v>
                </c:pt>
                <c:pt idx="223">
                  <c:v>231125</c:v>
                </c:pt>
                <c:pt idx="224">
                  <c:v>232225</c:v>
                </c:pt>
                <c:pt idx="225">
                  <c:v>232425</c:v>
                </c:pt>
                <c:pt idx="226">
                  <c:v>232825</c:v>
                </c:pt>
                <c:pt idx="227">
                  <c:v>232825</c:v>
                </c:pt>
                <c:pt idx="228">
                  <c:v>232825</c:v>
                </c:pt>
                <c:pt idx="229">
                  <c:v>232825</c:v>
                </c:pt>
                <c:pt idx="230">
                  <c:v>232825</c:v>
                </c:pt>
                <c:pt idx="231">
                  <c:v>233025</c:v>
                </c:pt>
                <c:pt idx="232">
                  <c:v>233025</c:v>
                </c:pt>
                <c:pt idx="233">
                  <c:v>233675</c:v>
                </c:pt>
                <c:pt idx="234">
                  <c:v>235675</c:v>
                </c:pt>
                <c:pt idx="235">
                  <c:v>236725</c:v>
                </c:pt>
                <c:pt idx="236">
                  <c:v>236725</c:v>
                </c:pt>
                <c:pt idx="237">
                  <c:v>236725</c:v>
                </c:pt>
                <c:pt idx="238">
                  <c:v>236725</c:v>
                </c:pt>
                <c:pt idx="239">
                  <c:v>236425</c:v>
                </c:pt>
                <c:pt idx="240">
                  <c:v>236800</c:v>
                </c:pt>
                <c:pt idx="241">
                  <c:v>237300</c:v>
                </c:pt>
                <c:pt idx="242">
                  <c:v>237800</c:v>
                </c:pt>
                <c:pt idx="243">
                  <c:v>237800</c:v>
                </c:pt>
                <c:pt idx="244">
                  <c:v>237800</c:v>
                </c:pt>
                <c:pt idx="245">
                  <c:v>238300</c:v>
                </c:pt>
                <c:pt idx="246">
                  <c:v>238850</c:v>
                </c:pt>
                <c:pt idx="247">
                  <c:v>239350</c:v>
                </c:pt>
                <c:pt idx="248">
                  <c:v>239850</c:v>
                </c:pt>
                <c:pt idx="249">
                  <c:v>240600</c:v>
                </c:pt>
                <c:pt idx="250">
                  <c:v>240600</c:v>
                </c:pt>
                <c:pt idx="251">
                  <c:v>240600</c:v>
                </c:pt>
                <c:pt idx="252">
                  <c:v>241725</c:v>
                </c:pt>
                <c:pt idx="253">
                  <c:v>243500</c:v>
                </c:pt>
                <c:pt idx="254">
                  <c:v>244000</c:v>
                </c:pt>
                <c:pt idx="255">
                  <c:v>243550</c:v>
                </c:pt>
                <c:pt idx="256">
                  <c:v>244375</c:v>
                </c:pt>
                <c:pt idx="257">
                  <c:v>244375</c:v>
                </c:pt>
                <c:pt idx="258">
                  <c:v>244375</c:v>
                </c:pt>
                <c:pt idx="259">
                  <c:v>244100</c:v>
                </c:pt>
                <c:pt idx="260">
                  <c:v>245100</c:v>
                </c:pt>
                <c:pt idx="261">
                  <c:v>246100</c:v>
                </c:pt>
                <c:pt idx="262">
                  <c:v>231225</c:v>
                </c:pt>
                <c:pt idx="263">
                  <c:v>231675</c:v>
                </c:pt>
                <c:pt idx="264">
                  <c:v>231675</c:v>
                </c:pt>
                <c:pt idx="265">
                  <c:v>231675</c:v>
                </c:pt>
                <c:pt idx="266">
                  <c:v>182200</c:v>
                </c:pt>
                <c:pt idx="267">
                  <c:v>180425</c:v>
                </c:pt>
                <c:pt idx="268">
                  <c:v>181425</c:v>
                </c:pt>
                <c:pt idx="269">
                  <c:v>182375</c:v>
                </c:pt>
                <c:pt idx="270">
                  <c:v>183400</c:v>
                </c:pt>
                <c:pt idx="271">
                  <c:v>183400</c:v>
                </c:pt>
                <c:pt idx="272">
                  <c:v>183400</c:v>
                </c:pt>
                <c:pt idx="273">
                  <c:v>184450</c:v>
                </c:pt>
                <c:pt idx="274">
                  <c:v>185350</c:v>
                </c:pt>
                <c:pt idx="275">
                  <c:v>184725</c:v>
                </c:pt>
                <c:pt idx="276">
                  <c:v>185150</c:v>
                </c:pt>
                <c:pt idx="277">
                  <c:v>185675</c:v>
                </c:pt>
                <c:pt idx="278">
                  <c:v>185675</c:v>
                </c:pt>
                <c:pt idx="279">
                  <c:v>185675</c:v>
                </c:pt>
                <c:pt idx="280">
                  <c:v>186200</c:v>
                </c:pt>
                <c:pt idx="281">
                  <c:v>185950</c:v>
                </c:pt>
                <c:pt idx="282">
                  <c:v>186525</c:v>
                </c:pt>
                <c:pt idx="283">
                  <c:v>187850</c:v>
                </c:pt>
                <c:pt idx="284">
                  <c:v>187850</c:v>
                </c:pt>
                <c:pt idx="285">
                  <c:v>187850</c:v>
                </c:pt>
                <c:pt idx="286">
                  <c:v>187850</c:v>
                </c:pt>
                <c:pt idx="287">
                  <c:v>186625</c:v>
                </c:pt>
                <c:pt idx="288">
                  <c:v>189600</c:v>
                </c:pt>
                <c:pt idx="289">
                  <c:v>186025</c:v>
                </c:pt>
                <c:pt idx="290">
                  <c:v>189000</c:v>
                </c:pt>
                <c:pt idx="291">
                  <c:v>190925</c:v>
                </c:pt>
                <c:pt idx="292">
                  <c:v>190925</c:v>
                </c:pt>
              </c:numCache>
            </c:numRef>
          </c:val>
        </c:ser>
        <c:axId val="231321984"/>
        <c:axId val="231323520"/>
      </c:areaChart>
      <c:lineChart>
        <c:grouping val="standard"/>
        <c:ser>
          <c:idx val="3"/>
          <c:order val="1"/>
          <c:tx>
            <c:strRef>
              <c:f>金属库存及仓单工作区!$AL$2</c:f>
              <c:strCache>
                <c:ptCount val="1"/>
                <c:pt idx="0">
                  <c:v>伦铅注销仓单占比</c:v>
                </c:pt>
              </c:strCache>
            </c:strRef>
          </c:tx>
          <c:spPr>
            <a:ln>
              <a:solidFill>
                <a:srgbClr val="993300"/>
              </a:solidFill>
            </a:ln>
          </c:spPr>
          <c:marker>
            <c:symbol val="none"/>
          </c:marker>
          <c:cat>
            <c:numRef>
              <c:f>金属库存及仓单工作区!$K$4:$K$296</c:f>
              <c:numCache>
                <c:formatCode>yyyy/m/d</c:formatCode>
                <c:ptCount val="293"/>
                <c:pt idx="0">
                  <c:v>41795</c:v>
                </c:pt>
                <c:pt idx="1">
                  <c:v>41794</c:v>
                </c:pt>
                <c:pt idx="2">
                  <c:v>41793</c:v>
                </c:pt>
                <c:pt idx="3">
                  <c:v>41792</c:v>
                </c:pt>
                <c:pt idx="4">
                  <c:v>41791</c:v>
                </c:pt>
                <c:pt idx="5">
                  <c:v>41790</c:v>
                </c:pt>
                <c:pt idx="6">
                  <c:v>41789</c:v>
                </c:pt>
                <c:pt idx="7">
                  <c:v>41788</c:v>
                </c:pt>
                <c:pt idx="8">
                  <c:v>41787</c:v>
                </c:pt>
                <c:pt idx="9">
                  <c:v>41786</c:v>
                </c:pt>
                <c:pt idx="10">
                  <c:v>41785</c:v>
                </c:pt>
                <c:pt idx="11">
                  <c:v>41784</c:v>
                </c:pt>
                <c:pt idx="12">
                  <c:v>41783</c:v>
                </c:pt>
                <c:pt idx="13">
                  <c:v>41782</c:v>
                </c:pt>
                <c:pt idx="14">
                  <c:v>41781</c:v>
                </c:pt>
                <c:pt idx="15">
                  <c:v>41780</c:v>
                </c:pt>
                <c:pt idx="16">
                  <c:v>41779</c:v>
                </c:pt>
                <c:pt idx="17">
                  <c:v>41778</c:v>
                </c:pt>
                <c:pt idx="18">
                  <c:v>41777</c:v>
                </c:pt>
                <c:pt idx="19">
                  <c:v>41776</c:v>
                </c:pt>
                <c:pt idx="20">
                  <c:v>41775</c:v>
                </c:pt>
                <c:pt idx="21">
                  <c:v>41774</c:v>
                </c:pt>
                <c:pt idx="22">
                  <c:v>41773</c:v>
                </c:pt>
                <c:pt idx="23">
                  <c:v>41772</c:v>
                </c:pt>
                <c:pt idx="24">
                  <c:v>41771</c:v>
                </c:pt>
                <c:pt idx="25">
                  <c:v>41770</c:v>
                </c:pt>
                <c:pt idx="26">
                  <c:v>41769</c:v>
                </c:pt>
                <c:pt idx="27">
                  <c:v>41768</c:v>
                </c:pt>
                <c:pt idx="28">
                  <c:v>41767</c:v>
                </c:pt>
                <c:pt idx="29">
                  <c:v>41766</c:v>
                </c:pt>
                <c:pt idx="30">
                  <c:v>41765</c:v>
                </c:pt>
                <c:pt idx="31">
                  <c:v>41764</c:v>
                </c:pt>
                <c:pt idx="32">
                  <c:v>41763</c:v>
                </c:pt>
                <c:pt idx="33">
                  <c:v>41762</c:v>
                </c:pt>
                <c:pt idx="34">
                  <c:v>41761</c:v>
                </c:pt>
                <c:pt idx="35">
                  <c:v>41760</c:v>
                </c:pt>
                <c:pt idx="36">
                  <c:v>41759</c:v>
                </c:pt>
                <c:pt idx="37">
                  <c:v>41758</c:v>
                </c:pt>
                <c:pt idx="38">
                  <c:v>41757</c:v>
                </c:pt>
                <c:pt idx="39">
                  <c:v>41756</c:v>
                </c:pt>
                <c:pt idx="40">
                  <c:v>41755</c:v>
                </c:pt>
                <c:pt idx="41">
                  <c:v>41754</c:v>
                </c:pt>
                <c:pt idx="42">
                  <c:v>41753</c:v>
                </c:pt>
                <c:pt idx="43">
                  <c:v>41752</c:v>
                </c:pt>
                <c:pt idx="44">
                  <c:v>41751</c:v>
                </c:pt>
                <c:pt idx="45">
                  <c:v>41750</c:v>
                </c:pt>
                <c:pt idx="46">
                  <c:v>41749</c:v>
                </c:pt>
                <c:pt idx="47">
                  <c:v>41748</c:v>
                </c:pt>
                <c:pt idx="48">
                  <c:v>41747</c:v>
                </c:pt>
                <c:pt idx="49">
                  <c:v>41746</c:v>
                </c:pt>
                <c:pt idx="50">
                  <c:v>41745</c:v>
                </c:pt>
                <c:pt idx="51">
                  <c:v>41744</c:v>
                </c:pt>
                <c:pt idx="52">
                  <c:v>41743</c:v>
                </c:pt>
                <c:pt idx="53">
                  <c:v>41742</c:v>
                </c:pt>
                <c:pt idx="54">
                  <c:v>41741</c:v>
                </c:pt>
                <c:pt idx="55">
                  <c:v>41740</c:v>
                </c:pt>
                <c:pt idx="56">
                  <c:v>41739</c:v>
                </c:pt>
                <c:pt idx="57">
                  <c:v>41738</c:v>
                </c:pt>
                <c:pt idx="58">
                  <c:v>41737</c:v>
                </c:pt>
                <c:pt idx="59">
                  <c:v>41736</c:v>
                </c:pt>
                <c:pt idx="60">
                  <c:v>41735</c:v>
                </c:pt>
                <c:pt idx="61">
                  <c:v>41734</c:v>
                </c:pt>
                <c:pt idx="62">
                  <c:v>41733</c:v>
                </c:pt>
                <c:pt idx="63">
                  <c:v>41732</c:v>
                </c:pt>
                <c:pt idx="64">
                  <c:v>41731</c:v>
                </c:pt>
                <c:pt idx="65">
                  <c:v>41730</c:v>
                </c:pt>
                <c:pt idx="66">
                  <c:v>41729</c:v>
                </c:pt>
                <c:pt idx="67">
                  <c:v>41728</c:v>
                </c:pt>
                <c:pt idx="68">
                  <c:v>41727</c:v>
                </c:pt>
                <c:pt idx="69">
                  <c:v>41726</c:v>
                </c:pt>
                <c:pt idx="70">
                  <c:v>41725</c:v>
                </c:pt>
                <c:pt idx="71">
                  <c:v>41724</c:v>
                </c:pt>
                <c:pt idx="72">
                  <c:v>41723</c:v>
                </c:pt>
                <c:pt idx="73">
                  <c:v>41722</c:v>
                </c:pt>
                <c:pt idx="74">
                  <c:v>41721</c:v>
                </c:pt>
                <c:pt idx="75">
                  <c:v>41720</c:v>
                </c:pt>
                <c:pt idx="76">
                  <c:v>41719</c:v>
                </c:pt>
                <c:pt idx="77">
                  <c:v>41718</c:v>
                </c:pt>
                <c:pt idx="78">
                  <c:v>41717</c:v>
                </c:pt>
                <c:pt idx="79">
                  <c:v>41716</c:v>
                </c:pt>
                <c:pt idx="80">
                  <c:v>41715</c:v>
                </c:pt>
                <c:pt idx="81">
                  <c:v>41714</c:v>
                </c:pt>
                <c:pt idx="82">
                  <c:v>41713</c:v>
                </c:pt>
                <c:pt idx="83">
                  <c:v>41712</c:v>
                </c:pt>
                <c:pt idx="84">
                  <c:v>41711</c:v>
                </c:pt>
                <c:pt idx="85">
                  <c:v>41710</c:v>
                </c:pt>
                <c:pt idx="86">
                  <c:v>41709</c:v>
                </c:pt>
                <c:pt idx="87">
                  <c:v>41708</c:v>
                </c:pt>
                <c:pt idx="88">
                  <c:v>41707</c:v>
                </c:pt>
                <c:pt idx="89">
                  <c:v>41706</c:v>
                </c:pt>
                <c:pt idx="90">
                  <c:v>41705</c:v>
                </c:pt>
                <c:pt idx="91">
                  <c:v>41704</c:v>
                </c:pt>
                <c:pt idx="92">
                  <c:v>41703</c:v>
                </c:pt>
                <c:pt idx="93">
                  <c:v>41702</c:v>
                </c:pt>
                <c:pt idx="94">
                  <c:v>41701</c:v>
                </c:pt>
                <c:pt idx="95">
                  <c:v>41700</c:v>
                </c:pt>
                <c:pt idx="96">
                  <c:v>41699</c:v>
                </c:pt>
                <c:pt idx="97">
                  <c:v>41698</c:v>
                </c:pt>
                <c:pt idx="98">
                  <c:v>41697</c:v>
                </c:pt>
                <c:pt idx="99">
                  <c:v>41696</c:v>
                </c:pt>
                <c:pt idx="100">
                  <c:v>41695</c:v>
                </c:pt>
                <c:pt idx="101">
                  <c:v>41694</c:v>
                </c:pt>
                <c:pt idx="102">
                  <c:v>41693</c:v>
                </c:pt>
                <c:pt idx="103">
                  <c:v>41692</c:v>
                </c:pt>
                <c:pt idx="104">
                  <c:v>41691</c:v>
                </c:pt>
                <c:pt idx="105">
                  <c:v>41690</c:v>
                </c:pt>
                <c:pt idx="106">
                  <c:v>41689</c:v>
                </c:pt>
                <c:pt idx="107">
                  <c:v>41688</c:v>
                </c:pt>
                <c:pt idx="108">
                  <c:v>41687</c:v>
                </c:pt>
                <c:pt idx="109">
                  <c:v>41686</c:v>
                </c:pt>
                <c:pt idx="110">
                  <c:v>41685</c:v>
                </c:pt>
                <c:pt idx="111">
                  <c:v>41684</c:v>
                </c:pt>
                <c:pt idx="112">
                  <c:v>41683</c:v>
                </c:pt>
                <c:pt idx="113">
                  <c:v>41682</c:v>
                </c:pt>
                <c:pt idx="114">
                  <c:v>41681</c:v>
                </c:pt>
                <c:pt idx="115">
                  <c:v>41680</c:v>
                </c:pt>
                <c:pt idx="116">
                  <c:v>41679</c:v>
                </c:pt>
                <c:pt idx="117">
                  <c:v>41678</c:v>
                </c:pt>
                <c:pt idx="118">
                  <c:v>41677</c:v>
                </c:pt>
                <c:pt idx="119">
                  <c:v>41676</c:v>
                </c:pt>
                <c:pt idx="120">
                  <c:v>41675</c:v>
                </c:pt>
                <c:pt idx="121">
                  <c:v>41674</c:v>
                </c:pt>
                <c:pt idx="122">
                  <c:v>41673</c:v>
                </c:pt>
                <c:pt idx="123">
                  <c:v>41672</c:v>
                </c:pt>
                <c:pt idx="124">
                  <c:v>41671</c:v>
                </c:pt>
                <c:pt idx="125">
                  <c:v>41670</c:v>
                </c:pt>
                <c:pt idx="126">
                  <c:v>41669</c:v>
                </c:pt>
                <c:pt idx="127">
                  <c:v>41668</c:v>
                </c:pt>
                <c:pt idx="128">
                  <c:v>41667</c:v>
                </c:pt>
                <c:pt idx="129">
                  <c:v>41666</c:v>
                </c:pt>
                <c:pt idx="130">
                  <c:v>41665</c:v>
                </c:pt>
                <c:pt idx="131">
                  <c:v>41664</c:v>
                </c:pt>
                <c:pt idx="132">
                  <c:v>41663</c:v>
                </c:pt>
                <c:pt idx="133">
                  <c:v>41662</c:v>
                </c:pt>
                <c:pt idx="134">
                  <c:v>41661</c:v>
                </c:pt>
                <c:pt idx="135">
                  <c:v>41660</c:v>
                </c:pt>
                <c:pt idx="136">
                  <c:v>41659</c:v>
                </c:pt>
                <c:pt idx="137">
                  <c:v>41658</c:v>
                </c:pt>
                <c:pt idx="138">
                  <c:v>41657</c:v>
                </c:pt>
                <c:pt idx="139">
                  <c:v>41656</c:v>
                </c:pt>
                <c:pt idx="140">
                  <c:v>41655</c:v>
                </c:pt>
                <c:pt idx="141">
                  <c:v>41654</c:v>
                </c:pt>
                <c:pt idx="142">
                  <c:v>41653</c:v>
                </c:pt>
                <c:pt idx="143">
                  <c:v>41652</c:v>
                </c:pt>
                <c:pt idx="144">
                  <c:v>41651</c:v>
                </c:pt>
                <c:pt idx="145">
                  <c:v>41650</c:v>
                </c:pt>
                <c:pt idx="146">
                  <c:v>41649</c:v>
                </c:pt>
                <c:pt idx="147">
                  <c:v>41648</c:v>
                </c:pt>
                <c:pt idx="148">
                  <c:v>41647</c:v>
                </c:pt>
                <c:pt idx="149">
                  <c:v>41646</c:v>
                </c:pt>
                <c:pt idx="150">
                  <c:v>41645</c:v>
                </c:pt>
                <c:pt idx="151">
                  <c:v>41644</c:v>
                </c:pt>
                <c:pt idx="152">
                  <c:v>41643</c:v>
                </c:pt>
                <c:pt idx="153">
                  <c:v>41642</c:v>
                </c:pt>
                <c:pt idx="154">
                  <c:v>41641</c:v>
                </c:pt>
                <c:pt idx="155">
                  <c:v>41640</c:v>
                </c:pt>
                <c:pt idx="156">
                  <c:v>41639</c:v>
                </c:pt>
                <c:pt idx="157">
                  <c:v>41638</c:v>
                </c:pt>
                <c:pt idx="158">
                  <c:v>41637</c:v>
                </c:pt>
                <c:pt idx="159">
                  <c:v>41636</c:v>
                </c:pt>
                <c:pt idx="160">
                  <c:v>41635</c:v>
                </c:pt>
                <c:pt idx="161">
                  <c:v>41634</c:v>
                </c:pt>
                <c:pt idx="162">
                  <c:v>41633</c:v>
                </c:pt>
                <c:pt idx="163">
                  <c:v>41632</c:v>
                </c:pt>
                <c:pt idx="164">
                  <c:v>41631</c:v>
                </c:pt>
                <c:pt idx="165">
                  <c:v>41630</c:v>
                </c:pt>
                <c:pt idx="166">
                  <c:v>41629</c:v>
                </c:pt>
                <c:pt idx="167">
                  <c:v>41628</c:v>
                </c:pt>
                <c:pt idx="168">
                  <c:v>41627</c:v>
                </c:pt>
                <c:pt idx="169">
                  <c:v>41626</c:v>
                </c:pt>
                <c:pt idx="170">
                  <c:v>41625</c:v>
                </c:pt>
                <c:pt idx="171">
                  <c:v>41624</c:v>
                </c:pt>
                <c:pt idx="172">
                  <c:v>41623</c:v>
                </c:pt>
                <c:pt idx="173">
                  <c:v>41622</c:v>
                </c:pt>
                <c:pt idx="174">
                  <c:v>41621</c:v>
                </c:pt>
                <c:pt idx="175">
                  <c:v>41620</c:v>
                </c:pt>
                <c:pt idx="176">
                  <c:v>41619</c:v>
                </c:pt>
                <c:pt idx="177">
                  <c:v>41618</c:v>
                </c:pt>
                <c:pt idx="178">
                  <c:v>41617</c:v>
                </c:pt>
                <c:pt idx="179">
                  <c:v>41616</c:v>
                </c:pt>
                <c:pt idx="180">
                  <c:v>41615</c:v>
                </c:pt>
                <c:pt idx="181">
                  <c:v>41614</c:v>
                </c:pt>
                <c:pt idx="182">
                  <c:v>41613</c:v>
                </c:pt>
                <c:pt idx="183">
                  <c:v>41612</c:v>
                </c:pt>
                <c:pt idx="184">
                  <c:v>41611</c:v>
                </c:pt>
                <c:pt idx="185">
                  <c:v>41610</c:v>
                </c:pt>
                <c:pt idx="186">
                  <c:v>41609</c:v>
                </c:pt>
                <c:pt idx="187">
                  <c:v>41608</c:v>
                </c:pt>
                <c:pt idx="188">
                  <c:v>41607</c:v>
                </c:pt>
                <c:pt idx="189">
                  <c:v>41606</c:v>
                </c:pt>
                <c:pt idx="190">
                  <c:v>41605</c:v>
                </c:pt>
                <c:pt idx="191">
                  <c:v>41604</c:v>
                </c:pt>
                <c:pt idx="192">
                  <c:v>41603</c:v>
                </c:pt>
                <c:pt idx="193">
                  <c:v>41602</c:v>
                </c:pt>
                <c:pt idx="194">
                  <c:v>41601</c:v>
                </c:pt>
                <c:pt idx="195">
                  <c:v>41600</c:v>
                </c:pt>
                <c:pt idx="196">
                  <c:v>41599</c:v>
                </c:pt>
                <c:pt idx="197">
                  <c:v>41598</c:v>
                </c:pt>
                <c:pt idx="198">
                  <c:v>41597</c:v>
                </c:pt>
                <c:pt idx="199">
                  <c:v>41596</c:v>
                </c:pt>
                <c:pt idx="200">
                  <c:v>41595</c:v>
                </c:pt>
                <c:pt idx="201">
                  <c:v>41594</c:v>
                </c:pt>
                <c:pt idx="202">
                  <c:v>41593</c:v>
                </c:pt>
                <c:pt idx="203">
                  <c:v>41592</c:v>
                </c:pt>
                <c:pt idx="204">
                  <c:v>41591</c:v>
                </c:pt>
                <c:pt idx="205">
                  <c:v>41590</c:v>
                </c:pt>
                <c:pt idx="206">
                  <c:v>41589</c:v>
                </c:pt>
                <c:pt idx="207">
                  <c:v>41588</c:v>
                </c:pt>
                <c:pt idx="208">
                  <c:v>41587</c:v>
                </c:pt>
                <c:pt idx="209">
                  <c:v>41586</c:v>
                </c:pt>
                <c:pt idx="210">
                  <c:v>41585</c:v>
                </c:pt>
                <c:pt idx="211">
                  <c:v>41584</c:v>
                </c:pt>
                <c:pt idx="212">
                  <c:v>41583</c:v>
                </c:pt>
                <c:pt idx="213">
                  <c:v>41582</c:v>
                </c:pt>
                <c:pt idx="214">
                  <c:v>41581</c:v>
                </c:pt>
                <c:pt idx="215">
                  <c:v>41580</c:v>
                </c:pt>
                <c:pt idx="216">
                  <c:v>41579</c:v>
                </c:pt>
                <c:pt idx="217">
                  <c:v>41578</c:v>
                </c:pt>
                <c:pt idx="218">
                  <c:v>41577</c:v>
                </c:pt>
                <c:pt idx="219">
                  <c:v>41576</c:v>
                </c:pt>
                <c:pt idx="220">
                  <c:v>41575</c:v>
                </c:pt>
                <c:pt idx="221">
                  <c:v>41574</c:v>
                </c:pt>
                <c:pt idx="222">
                  <c:v>41573</c:v>
                </c:pt>
                <c:pt idx="223">
                  <c:v>41572</c:v>
                </c:pt>
                <c:pt idx="224">
                  <c:v>41571</c:v>
                </c:pt>
                <c:pt idx="225">
                  <c:v>41570</c:v>
                </c:pt>
                <c:pt idx="226">
                  <c:v>41569</c:v>
                </c:pt>
                <c:pt idx="227">
                  <c:v>41568</c:v>
                </c:pt>
                <c:pt idx="228">
                  <c:v>41567</c:v>
                </c:pt>
                <c:pt idx="229">
                  <c:v>41566</c:v>
                </c:pt>
                <c:pt idx="230">
                  <c:v>41565</c:v>
                </c:pt>
                <c:pt idx="231">
                  <c:v>41564</c:v>
                </c:pt>
                <c:pt idx="232">
                  <c:v>41563</c:v>
                </c:pt>
                <c:pt idx="233">
                  <c:v>41562</c:v>
                </c:pt>
                <c:pt idx="234">
                  <c:v>41561</c:v>
                </c:pt>
                <c:pt idx="235">
                  <c:v>41560</c:v>
                </c:pt>
                <c:pt idx="236">
                  <c:v>41559</c:v>
                </c:pt>
                <c:pt idx="237">
                  <c:v>41558</c:v>
                </c:pt>
                <c:pt idx="238">
                  <c:v>41557</c:v>
                </c:pt>
                <c:pt idx="239">
                  <c:v>41556</c:v>
                </c:pt>
                <c:pt idx="240">
                  <c:v>41555</c:v>
                </c:pt>
                <c:pt idx="241">
                  <c:v>41554</c:v>
                </c:pt>
                <c:pt idx="242">
                  <c:v>41553</c:v>
                </c:pt>
                <c:pt idx="243">
                  <c:v>41552</c:v>
                </c:pt>
                <c:pt idx="244">
                  <c:v>41551</c:v>
                </c:pt>
                <c:pt idx="245">
                  <c:v>41550</c:v>
                </c:pt>
                <c:pt idx="246">
                  <c:v>41549</c:v>
                </c:pt>
                <c:pt idx="247">
                  <c:v>41548</c:v>
                </c:pt>
                <c:pt idx="248">
                  <c:v>41547</c:v>
                </c:pt>
                <c:pt idx="249">
                  <c:v>41546</c:v>
                </c:pt>
                <c:pt idx="250">
                  <c:v>41545</c:v>
                </c:pt>
                <c:pt idx="251">
                  <c:v>41544</c:v>
                </c:pt>
                <c:pt idx="252">
                  <c:v>41543</c:v>
                </c:pt>
                <c:pt idx="253">
                  <c:v>41542</c:v>
                </c:pt>
                <c:pt idx="254">
                  <c:v>41541</c:v>
                </c:pt>
                <c:pt idx="255">
                  <c:v>41540</c:v>
                </c:pt>
                <c:pt idx="256">
                  <c:v>41539</c:v>
                </c:pt>
                <c:pt idx="257">
                  <c:v>41538</c:v>
                </c:pt>
                <c:pt idx="258">
                  <c:v>41537</c:v>
                </c:pt>
                <c:pt idx="259">
                  <c:v>41536</c:v>
                </c:pt>
                <c:pt idx="260">
                  <c:v>41535</c:v>
                </c:pt>
                <c:pt idx="261">
                  <c:v>41534</c:v>
                </c:pt>
                <c:pt idx="262">
                  <c:v>41533</c:v>
                </c:pt>
                <c:pt idx="263">
                  <c:v>41532</c:v>
                </c:pt>
                <c:pt idx="264">
                  <c:v>41531</c:v>
                </c:pt>
                <c:pt idx="265">
                  <c:v>41530</c:v>
                </c:pt>
                <c:pt idx="266">
                  <c:v>41529</c:v>
                </c:pt>
                <c:pt idx="267">
                  <c:v>41528</c:v>
                </c:pt>
                <c:pt idx="268">
                  <c:v>41527</c:v>
                </c:pt>
                <c:pt idx="269">
                  <c:v>41526</c:v>
                </c:pt>
                <c:pt idx="270">
                  <c:v>41525</c:v>
                </c:pt>
                <c:pt idx="271">
                  <c:v>41524</c:v>
                </c:pt>
                <c:pt idx="272">
                  <c:v>41523</c:v>
                </c:pt>
                <c:pt idx="273">
                  <c:v>41522</c:v>
                </c:pt>
                <c:pt idx="274">
                  <c:v>41521</c:v>
                </c:pt>
                <c:pt idx="275">
                  <c:v>41520</c:v>
                </c:pt>
                <c:pt idx="276">
                  <c:v>41519</c:v>
                </c:pt>
                <c:pt idx="277">
                  <c:v>41518</c:v>
                </c:pt>
                <c:pt idx="278">
                  <c:v>41517</c:v>
                </c:pt>
                <c:pt idx="279">
                  <c:v>41516</c:v>
                </c:pt>
                <c:pt idx="280">
                  <c:v>41515</c:v>
                </c:pt>
                <c:pt idx="281">
                  <c:v>41514</c:v>
                </c:pt>
                <c:pt idx="282">
                  <c:v>41513</c:v>
                </c:pt>
                <c:pt idx="283">
                  <c:v>41512</c:v>
                </c:pt>
                <c:pt idx="284">
                  <c:v>41511</c:v>
                </c:pt>
                <c:pt idx="285">
                  <c:v>41510</c:v>
                </c:pt>
                <c:pt idx="286">
                  <c:v>41509</c:v>
                </c:pt>
                <c:pt idx="287">
                  <c:v>41508</c:v>
                </c:pt>
                <c:pt idx="288">
                  <c:v>41507</c:v>
                </c:pt>
                <c:pt idx="289">
                  <c:v>41506</c:v>
                </c:pt>
                <c:pt idx="290">
                  <c:v>41505</c:v>
                </c:pt>
                <c:pt idx="291">
                  <c:v>41504</c:v>
                </c:pt>
                <c:pt idx="292">
                  <c:v>41503</c:v>
                </c:pt>
              </c:numCache>
            </c:numRef>
          </c:cat>
          <c:val>
            <c:numRef>
              <c:f>金属库存及仓单工作区!$AL$4:$AL$296</c:f>
              <c:numCache>
                <c:formatCode>0.00_ </c:formatCode>
                <c:ptCount val="293"/>
                <c:pt idx="0">
                  <c:v>9.2449113591595395</c:v>
                </c:pt>
                <c:pt idx="1">
                  <c:v>9.268740974136799</c:v>
                </c:pt>
                <c:pt idx="2">
                  <c:v>8.9536562951293366</c:v>
                </c:pt>
                <c:pt idx="3">
                  <c:v>8.820055125344533</c:v>
                </c:pt>
                <c:pt idx="4">
                  <c:v>8.7938049612810083</c:v>
                </c:pt>
                <c:pt idx="5">
                  <c:v>8.7938049612810083</c:v>
                </c:pt>
                <c:pt idx="6">
                  <c:v>8.7938049612810083</c:v>
                </c:pt>
                <c:pt idx="7">
                  <c:v>9.1695048467382865</c:v>
                </c:pt>
                <c:pt idx="8">
                  <c:v>9.6900234436050958</c:v>
                </c:pt>
                <c:pt idx="9">
                  <c:v>9.9480519480519387</c:v>
                </c:pt>
                <c:pt idx="10">
                  <c:v>9.9856975685866765</c:v>
                </c:pt>
                <c:pt idx="11">
                  <c:v>9.9856975685866765</c:v>
                </c:pt>
                <c:pt idx="12">
                  <c:v>9.9856975685866765</c:v>
                </c:pt>
                <c:pt idx="13">
                  <c:v>9.9856975685866765</c:v>
                </c:pt>
                <c:pt idx="14">
                  <c:v>9.9856975685866765</c:v>
                </c:pt>
                <c:pt idx="15">
                  <c:v>10.032488628979857</c:v>
                </c:pt>
                <c:pt idx="16">
                  <c:v>10.199037335761684</c:v>
                </c:pt>
                <c:pt idx="17">
                  <c:v>10.199037335761684</c:v>
                </c:pt>
                <c:pt idx="18">
                  <c:v>10.395391463733962</c:v>
                </c:pt>
                <c:pt idx="19">
                  <c:v>10.395391463733962</c:v>
                </c:pt>
                <c:pt idx="20">
                  <c:v>10.395391463733962</c:v>
                </c:pt>
                <c:pt idx="21">
                  <c:v>9.2691855144463489</c:v>
                </c:pt>
                <c:pt idx="22">
                  <c:v>10.003902692858071</c:v>
                </c:pt>
                <c:pt idx="23">
                  <c:v>10.649283593649155</c:v>
                </c:pt>
                <c:pt idx="24">
                  <c:v>10.660292027393719</c:v>
                </c:pt>
                <c:pt idx="25">
                  <c:v>10.660292027393719</c:v>
                </c:pt>
                <c:pt idx="26">
                  <c:v>10.660292027393719</c:v>
                </c:pt>
                <c:pt idx="27">
                  <c:v>10.660292027393719</c:v>
                </c:pt>
                <c:pt idx="28">
                  <c:v>10.660292027393719</c:v>
                </c:pt>
                <c:pt idx="29">
                  <c:v>10.717975206611555</c:v>
                </c:pt>
                <c:pt idx="30">
                  <c:v>10.924803301947634</c:v>
                </c:pt>
                <c:pt idx="31">
                  <c:v>10.947775628626692</c:v>
                </c:pt>
                <c:pt idx="32">
                  <c:v>10.947775628626692</c:v>
                </c:pt>
                <c:pt idx="33">
                  <c:v>10.947775628626692</c:v>
                </c:pt>
                <c:pt idx="34">
                  <c:v>10.947775628626692</c:v>
                </c:pt>
                <c:pt idx="35">
                  <c:v>10.896196002578989</c:v>
                </c:pt>
                <c:pt idx="36">
                  <c:v>10.910264686894768</c:v>
                </c:pt>
                <c:pt idx="37">
                  <c:v>10.94701386189921</c:v>
                </c:pt>
                <c:pt idx="38">
                  <c:v>10.94701386189921</c:v>
                </c:pt>
                <c:pt idx="39">
                  <c:v>11.085241236580014</c:v>
                </c:pt>
                <c:pt idx="40">
                  <c:v>11.085241236580014</c:v>
                </c:pt>
                <c:pt idx="41">
                  <c:v>11.085241236580014</c:v>
                </c:pt>
                <c:pt idx="42">
                  <c:v>11.769991015274034</c:v>
                </c:pt>
                <c:pt idx="43">
                  <c:v>12.393325690994768</c:v>
                </c:pt>
                <c:pt idx="44">
                  <c:v>13.322430494401825</c:v>
                </c:pt>
                <c:pt idx="45">
                  <c:v>14.258982035928152</c:v>
                </c:pt>
                <c:pt idx="46">
                  <c:v>14.258982035928152</c:v>
                </c:pt>
                <c:pt idx="47">
                  <c:v>14.258982035928152</c:v>
                </c:pt>
                <c:pt idx="48">
                  <c:v>14.258982035928152</c:v>
                </c:pt>
                <c:pt idx="49">
                  <c:v>14.258982035928152</c:v>
                </c:pt>
                <c:pt idx="50">
                  <c:v>14.969689471730803</c:v>
                </c:pt>
                <c:pt idx="51">
                  <c:v>14.866534849233828</c:v>
                </c:pt>
                <c:pt idx="52">
                  <c:v>14.908596837944682</c:v>
                </c:pt>
                <c:pt idx="53">
                  <c:v>14.908596837944682</c:v>
                </c:pt>
                <c:pt idx="54">
                  <c:v>14.908596837944682</c:v>
                </c:pt>
                <c:pt idx="55">
                  <c:v>14.908596837944682</c:v>
                </c:pt>
                <c:pt idx="56">
                  <c:v>14.908596837944682</c:v>
                </c:pt>
                <c:pt idx="57">
                  <c:v>14.908596837944682</c:v>
                </c:pt>
                <c:pt idx="58">
                  <c:v>14.908596837944682</c:v>
                </c:pt>
                <c:pt idx="59">
                  <c:v>14.985769087984169</c:v>
                </c:pt>
                <c:pt idx="60">
                  <c:v>14.985769087984169</c:v>
                </c:pt>
                <c:pt idx="61">
                  <c:v>14.985769087984169</c:v>
                </c:pt>
                <c:pt idx="62">
                  <c:v>14.985769087984169</c:v>
                </c:pt>
                <c:pt idx="63">
                  <c:v>15.01363749070172</c:v>
                </c:pt>
                <c:pt idx="64">
                  <c:v>15.01363749070172</c:v>
                </c:pt>
                <c:pt idx="65">
                  <c:v>15.01363749070172</c:v>
                </c:pt>
                <c:pt idx="66">
                  <c:v>15.162860351928122</c:v>
                </c:pt>
                <c:pt idx="67">
                  <c:v>15.184029943855268</c:v>
                </c:pt>
                <c:pt idx="68">
                  <c:v>15.184029943855268</c:v>
                </c:pt>
                <c:pt idx="69">
                  <c:v>15.184029943855268</c:v>
                </c:pt>
                <c:pt idx="70">
                  <c:v>15.144710578842316</c:v>
                </c:pt>
                <c:pt idx="71">
                  <c:v>15.239875389408098</c:v>
                </c:pt>
                <c:pt idx="72">
                  <c:v>14.5241654210264</c:v>
                </c:pt>
                <c:pt idx="73">
                  <c:v>14.5241654210264</c:v>
                </c:pt>
                <c:pt idx="74">
                  <c:v>14.5241654210264</c:v>
                </c:pt>
                <c:pt idx="75">
                  <c:v>14.5241654210264</c:v>
                </c:pt>
                <c:pt idx="76">
                  <c:v>14.5241654210264</c:v>
                </c:pt>
                <c:pt idx="77">
                  <c:v>14.461883408071749</c:v>
                </c:pt>
                <c:pt idx="78">
                  <c:v>14.610793334991296</c:v>
                </c:pt>
                <c:pt idx="79">
                  <c:v>14.875418371141704</c:v>
                </c:pt>
                <c:pt idx="80">
                  <c:v>15.043919336879869</c:v>
                </c:pt>
                <c:pt idx="81">
                  <c:v>15.320782759474859</c:v>
                </c:pt>
                <c:pt idx="82">
                  <c:v>15.320782759474859</c:v>
                </c:pt>
                <c:pt idx="83">
                  <c:v>15.320782759474859</c:v>
                </c:pt>
                <c:pt idx="84">
                  <c:v>15.550889328063258</c:v>
                </c:pt>
                <c:pt idx="85">
                  <c:v>15.84194977843427</c:v>
                </c:pt>
                <c:pt idx="86">
                  <c:v>15.885896962990298</c:v>
                </c:pt>
                <c:pt idx="87">
                  <c:v>16.057409224730126</c:v>
                </c:pt>
                <c:pt idx="88">
                  <c:v>16.12942762593455</c:v>
                </c:pt>
                <c:pt idx="89">
                  <c:v>16.12942762593455</c:v>
                </c:pt>
                <c:pt idx="90">
                  <c:v>16.12942762593455</c:v>
                </c:pt>
                <c:pt idx="91">
                  <c:v>16.12942762593455</c:v>
                </c:pt>
                <c:pt idx="92">
                  <c:v>16.333580064150031</c:v>
                </c:pt>
                <c:pt idx="93">
                  <c:v>16.385155961040581</c:v>
                </c:pt>
                <c:pt idx="94">
                  <c:v>16.385155961040581</c:v>
                </c:pt>
                <c:pt idx="95">
                  <c:v>16.50389417727779</c:v>
                </c:pt>
                <c:pt idx="96">
                  <c:v>16.50389417727779</c:v>
                </c:pt>
                <c:pt idx="97">
                  <c:v>16.50389417727779</c:v>
                </c:pt>
                <c:pt idx="98">
                  <c:v>16.586390020995427</c:v>
                </c:pt>
                <c:pt idx="99">
                  <c:v>16.635813896087871</c:v>
                </c:pt>
                <c:pt idx="100">
                  <c:v>16.960516513533605</c:v>
                </c:pt>
                <c:pt idx="101">
                  <c:v>16.960516513533605</c:v>
                </c:pt>
                <c:pt idx="102">
                  <c:v>16.960516513533605</c:v>
                </c:pt>
                <c:pt idx="103">
                  <c:v>16.960516513533605</c:v>
                </c:pt>
                <c:pt idx="104">
                  <c:v>16.960516513533605</c:v>
                </c:pt>
                <c:pt idx="105">
                  <c:v>16.681157620171408</c:v>
                </c:pt>
                <c:pt idx="106">
                  <c:v>16.829721362229087</c:v>
                </c:pt>
                <c:pt idx="107">
                  <c:v>17.26007145497103</c:v>
                </c:pt>
                <c:pt idx="108">
                  <c:v>17.46343861373968</c:v>
                </c:pt>
                <c:pt idx="109">
                  <c:v>15.937231825426016</c:v>
                </c:pt>
                <c:pt idx="110">
                  <c:v>15.937231825426016</c:v>
                </c:pt>
                <c:pt idx="111">
                  <c:v>15.937231825426016</c:v>
                </c:pt>
                <c:pt idx="112">
                  <c:v>16.142839672251426</c:v>
                </c:pt>
                <c:pt idx="113">
                  <c:v>16.286446260827084</c:v>
                </c:pt>
                <c:pt idx="114">
                  <c:v>16.490203237191157</c:v>
                </c:pt>
                <c:pt idx="115">
                  <c:v>16.692970741774918</c:v>
                </c:pt>
                <c:pt idx="116">
                  <c:v>16.894755964636094</c:v>
                </c:pt>
                <c:pt idx="117">
                  <c:v>16.894755964636094</c:v>
                </c:pt>
                <c:pt idx="118">
                  <c:v>16.894755964636094</c:v>
                </c:pt>
                <c:pt idx="119">
                  <c:v>17.09556602633803</c:v>
                </c:pt>
                <c:pt idx="120">
                  <c:v>17.295407978787484</c:v>
                </c:pt>
                <c:pt idx="121">
                  <c:v>17.494288806059878</c:v>
                </c:pt>
                <c:pt idx="122">
                  <c:v>17.692215425212929</c:v>
                </c:pt>
                <c:pt idx="123">
                  <c:v>17.927809089818933</c:v>
                </c:pt>
                <c:pt idx="124">
                  <c:v>17.927809089818933</c:v>
                </c:pt>
                <c:pt idx="125">
                  <c:v>17.927809089818933</c:v>
                </c:pt>
                <c:pt idx="126">
                  <c:v>18.124177533197752</c:v>
                </c:pt>
                <c:pt idx="127">
                  <c:v>18.677646497195369</c:v>
                </c:pt>
                <c:pt idx="128">
                  <c:v>19.182502689135852</c:v>
                </c:pt>
                <c:pt idx="129">
                  <c:v>19.37522356027182</c:v>
                </c:pt>
                <c:pt idx="130">
                  <c:v>19.81211610261353</c:v>
                </c:pt>
                <c:pt idx="131">
                  <c:v>19.81211610261353</c:v>
                </c:pt>
                <c:pt idx="132">
                  <c:v>19.81211610261353</c:v>
                </c:pt>
                <c:pt idx="133">
                  <c:v>20.028853089685018</c:v>
                </c:pt>
                <c:pt idx="134">
                  <c:v>20.373473785013168</c:v>
                </c:pt>
                <c:pt idx="135">
                  <c:v>20.589639532107846</c:v>
                </c:pt>
                <c:pt idx="136">
                  <c:v>20.848267622461169</c:v>
                </c:pt>
                <c:pt idx="137">
                  <c:v>21.036948748510131</c:v>
                </c:pt>
                <c:pt idx="138">
                  <c:v>21.036948748510131</c:v>
                </c:pt>
                <c:pt idx="139">
                  <c:v>21.036948748510131</c:v>
                </c:pt>
                <c:pt idx="140">
                  <c:v>21.504739336492889</c:v>
                </c:pt>
                <c:pt idx="141">
                  <c:v>21.643026004728114</c:v>
                </c:pt>
                <c:pt idx="142">
                  <c:v>21.827830188679247</c:v>
                </c:pt>
                <c:pt idx="143">
                  <c:v>19.658823529411784</c:v>
                </c:pt>
                <c:pt idx="144">
                  <c:v>13.68544600938969</c:v>
                </c:pt>
                <c:pt idx="145">
                  <c:v>13.68544600938969</c:v>
                </c:pt>
                <c:pt idx="146">
                  <c:v>13.68544600938969</c:v>
                </c:pt>
                <c:pt idx="147">
                  <c:v>13.887587822014062</c:v>
                </c:pt>
                <c:pt idx="148">
                  <c:v>14.088785046728972</c:v>
                </c:pt>
                <c:pt idx="149">
                  <c:v>14.289044289044304</c:v>
                </c:pt>
                <c:pt idx="150">
                  <c:v>14.488372093023255</c:v>
                </c:pt>
                <c:pt idx="151">
                  <c:v>14.707249070631971</c:v>
                </c:pt>
                <c:pt idx="152">
                  <c:v>14.707249070631971</c:v>
                </c:pt>
                <c:pt idx="153">
                  <c:v>14.707249070631971</c:v>
                </c:pt>
                <c:pt idx="154">
                  <c:v>14.793175975695251</c:v>
                </c:pt>
                <c:pt idx="155">
                  <c:v>14.991839589647954</c:v>
                </c:pt>
                <c:pt idx="156">
                  <c:v>14.991839589647954</c:v>
                </c:pt>
                <c:pt idx="157">
                  <c:v>15.189578971853921</c:v>
                </c:pt>
                <c:pt idx="158">
                  <c:v>15.189578971853921</c:v>
                </c:pt>
                <c:pt idx="159">
                  <c:v>15.189578971853921</c:v>
                </c:pt>
                <c:pt idx="160">
                  <c:v>15.189578971853921</c:v>
                </c:pt>
                <c:pt idx="161">
                  <c:v>15.386400556973788</c:v>
                </c:pt>
                <c:pt idx="162">
                  <c:v>15.386400556973788</c:v>
                </c:pt>
                <c:pt idx="163">
                  <c:v>15.386400556973788</c:v>
                </c:pt>
                <c:pt idx="164">
                  <c:v>15.777315777315765</c:v>
                </c:pt>
                <c:pt idx="165">
                  <c:v>15.971421986632855</c:v>
                </c:pt>
                <c:pt idx="166">
                  <c:v>15.971421986632855</c:v>
                </c:pt>
                <c:pt idx="167">
                  <c:v>15.971421986632855</c:v>
                </c:pt>
                <c:pt idx="168">
                  <c:v>16.174272904931602</c:v>
                </c:pt>
                <c:pt idx="169">
                  <c:v>16.795983569146507</c:v>
                </c:pt>
                <c:pt idx="170">
                  <c:v>17.192823075176012</c:v>
                </c:pt>
                <c:pt idx="171">
                  <c:v>17.576579631513489</c:v>
                </c:pt>
                <c:pt idx="172">
                  <c:v>17.938329957236089</c:v>
                </c:pt>
                <c:pt idx="173">
                  <c:v>17.938329957236089</c:v>
                </c:pt>
                <c:pt idx="174">
                  <c:v>17.938329957236089</c:v>
                </c:pt>
                <c:pt idx="175">
                  <c:v>18.320268756998907</c:v>
                </c:pt>
                <c:pt idx="176">
                  <c:v>18.729805013927578</c:v>
                </c:pt>
                <c:pt idx="177">
                  <c:v>19.29630449214428</c:v>
                </c:pt>
                <c:pt idx="178">
                  <c:v>19.629874421678821</c:v>
                </c:pt>
                <c:pt idx="179">
                  <c:v>19.973675551168125</c:v>
                </c:pt>
                <c:pt idx="180">
                  <c:v>19.973675551168125</c:v>
                </c:pt>
                <c:pt idx="181">
                  <c:v>19.973675551168125</c:v>
                </c:pt>
                <c:pt idx="182">
                  <c:v>20.323249972698481</c:v>
                </c:pt>
                <c:pt idx="183">
                  <c:v>20.505556766179989</c:v>
                </c:pt>
                <c:pt idx="184">
                  <c:v>20.656664492280935</c:v>
                </c:pt>
                <c:pt idx="185">
                  <c:v>20.853698273053112</c:v>
                </c:pt>
                <c:pt idx="186">
                  <c:v>21.080497028633172</c:v>
                </c:pt>
                <c:pt idx="187">
                  <c:v>21.080497028633172</c:v>
                </c:pt>
                <c:pt idx="188">
                  <c:v>21.080497028633172</c:v>
                </c:pt>
                <c:pt idx="189">
                  <c:v>21.250673854447427</c:v>
                </c:pt>
                <c:pt idx="190">
                  <c:v>21.420118343195249</c:v>
                </c:pt>
                <c:pt idx="191">
                  <c:v>21.575783598110757</c:v>
                </c:pt>
                <c:pt idx="192">
                  <c:v>21.819154628143391</c:v>
                </c:pt>
                <c:pt idx="193">
                  <c:v>22.01432695391853</c:v>
                </c:pt>
                <c:pt idx="194">
                  <c:v>22.01432695391853</c:v>
                </c:pt>
                <c:pt idx="195">
                  <c:v>22.01432695391853</c:v>
                </c:pt>
                <c:pt idx="196">
                  <c:v>22.199679658302188</c:v>
                </c:pt>
                <c:pt idx="197">
                  <c:v>22.456364410387401</c:v>
                </c:pt>
                <c:pt idx="198">
                  <c:v>22.661144738239337</c:v>
                </c:pt>
                <c:pt idx="199">
                  <c:v>22.89041821069349</c:v>
                </c:pt>
                <c:pt idx="200">
                  <c:v>23.069610224992076</c:v>
                </c:pt>
                <c:pt idx="201">
                  <c:v>23.069610224992076</c:v>
                </c:pt>
                <c:pt idx="202">
                  <c:v>23.069610224992076</c:v>
                </c:pt>
                <c:pt idx="203">
                  <c:v>23.069610224992076</c:v>
                </c:pt>
                <c:pt idx="204">
                  <c:v>23.069610224992076</c:v>
                </c:pt>
                <c:pt idx="205">
                  <c:v>23.433476394849787</c:v>
                </c:pt>
                <c:pt idx="206">
                  <c:v>23.433476394849787</c:v>
                </c:pt>
                <c:pt idx="207">
                  <c:v>23.433476394849787</c:v>
                </c:pt>
                <c:pt idx="208">
                  <c:v>23.433476394849787</c:v>
                </c:pt>
                <c:pt idx="209">
                  <c:v>23.433476394849787</c:v>
                </c:pt>
                <c:pt idx="210">
                  <c:v>23.482736435770907</c:v>
                </c:pt>
                <c:pt idx="211">
                  <c:v>23.482736435770907</c:v>
                </c:pt>
                <c:pt idx="212">
                  <c:v>23.482736435770907</c:v>
                </c:pt>
                <c:pt idx="213">
                  <c:v>23.482736435770907</c:v>
                </c:pt>
                <c:pt idx="214">
                  <c:v>23.499142367066874</c:v>
                </c:pt>
                <c:pt idx="215">
                  <c:v>23.499142367066874</c:v>
                </c:pt>
                <c:pt idx="216">
                  <c:v>23.499142367066874</c:v>
                </c:pt>
                <c:pt idx="217">
                  <c:v>23.537619405388</c:v>
                </c:pt>
                <c:pt idx="218">
                  <c:v>23.537619405388</c:v>
                </c:pt>
                <c:pt idx="219">
                  <c:v>23.505420199635076</c:v>
                </c:pt>
                <c:pt idx="220">
                  <c:v>23.505420199635076</c:v>
                </c:pt>
                <c:pt idx="221">
                  <c:v>23.731746890210907</c:v>
                </c:pt>
                <c:pt idx="222">
                  <c:v>23.731746890210907</c:v>
                </c:pt>
                <c:pt idx="223">
                  <c:v>23.731746890210907</c:v>
                </c:pt>
                <c:pt idx="224">
                  <c:v>23.683927225750892</c:v>
                </c:pt>
                <c:pt idx="225">
                  <c:v>23.749596644078729</c:v>
                </c:pt>
                <c:pt idx="226">
                  <c:v>23.880597014925335</c:v>
                </c:pt>
                <c:pt idx="227">
                  <c:v>23.880597014925335</c:v>
                </c:pt>
                <c:pt idx="228">
                  <c:v>23.880597014925335</c:v>
                </c:pt>
                <c:pt idx="229">
                  <c:v>23.880597014925335</c:v>
                </c:pt>
                <c:pt idx="230">
                  <c:v>23.880597014925335</c:v>
                </c:pt>
                <c:pt idx="231">
                  <c:v>24.031756249329472</c:v>
                </c:pt>
                <c:pt idx="232">
                  <c:v>24.031756249329472</c:v>
                </c:pt>
                <c:pt idx="233">
                  <c:v>24.243072643628953</c:v>
                </c:pt>
                <c:pt idx="234">
                  <c:v>24.885965842791979</c:v>
                </c:pt>
                <c:pt idx="235">
                  <c:v>25.21913612841907</c:v>
                </c:pt>
                <c:pt idx="236">
                  <c:v>25.21913612841907</c:v>
                </c:pt>
                <c:pt idx="237">
                  <c:v>25.21913612841907</c:v>
                </c:pt>
                <c:pt idx="238">
                  <c:v>25.21913612841907</c:v>
                </c:pt>
                <c:pt idx="239">
                  <c:v>25.2511367241197</c:v>
                </c:pt>
                <c:pt idx="240">
                  <c:v>25.369510135135112</c:v>
                </c:pt>
                <c:pt idx="241">
                  <c:v>25.526759376316889</c:v>
                </c:pt>
                <c:pt idx="242">
                  <c:v>25.683347350714886</c:v>
                </c:pt>
                <c:pt idx="243">
                  <c:v>25.683347350714886</c:v>
                </c:pt>
                <c:pt idx="244">
                  <c:v>25.683347350714886</c:v>
                </c:pt>
                <c:pt idx="245">
                  <c:v>25.83927822073019</c:v>
                </c:pt>
                <c:pt idx="246">
                  <c:v>26.010048147372828</c:v>
                </c:pt>
                <c:pt idx="247">
                  <c:v>25.746814288698577</c:v>
                </c:pt>
                <c:pt idx="248">
                  <c:v>25.90160516989787</c:v>
                </c:pt>
                <c:pt idx="249">
                  <c:v>26.184538653366584</c:v>
                </c:pt>
                <c:pt idx="250">
                  <c:v>26.184538653366584</c:v>
                </c:pt>
                <c:pt idx="251">
                  <c:v>26.184538653366584</c:v>
                </c:pt>
                <c:pt idx="252">
                  <c:v>26.5280794291033</c:v>
                </c:pt>
                <c:pt idx="253">
                  <c:v>27.06365503080082</c:v>
                </c:pt>
                <c:pt idx="254">
                  <c:v>27.213114754098378</c:v>
                </c:pt>
                <c:pt idx="255">
                  <c:v>27.458427427632927</c:v>
                </c:pt>
                <c:pt idx="256">
                  <c:v>27.744245524296691</c:v>
                </c:pt>
                <c:pt idx="257">
                  <c:v>27.744245524296691</c:v>
                </c:pt>
                <c:pt idx="258">
                  <c:v>27.744245524296691</c:v>
                </c:pt>
                <c:pt idx="259">
                  <c:v>28.215895124948808</c:v>
                </c:pt>
                <c:pt idx="260">
                  <c:v>28.508771929824565</c:v>
                </c:pt>
                <c:pt idx="261">
                  <c:v>28.799268590004061</c:v>
                </c:pt>
                <c:pt idx="262">
                  <c:v>31.073629581576345</c:v>
                </c:pt>
                <c:pt idx="263">
                  <c:v>31.455703032264989</c:v>
                </c:pt>
                <c:pt idx="264">
                  <c:v>31.455703032264989</c:v>
                </c:pt>
                <c:pt idx="265">
                  <c:v>31.455703032264989</c:v>
                </c:pt>
                <c:pt idx="266">
                  <c:v>40.532381997804606</c:v>
                </c:pt>
                <c:pt idx="267">
                  <c:v>41.485381737564076</c:v>
                </c:pt>
                <c:pt idx="268">
                  <c:v>41.807909604519772</c:v>
                </c:pt>
                <c:pt idx="269">
                  <c:v>42.111034955448901</c:v>
                </c:pt>
                <c:pt idx="270">
                  <c:v>42.434569247546307</c:v>
                </c:pt>
                <c:pt idx="271">
                  <c:v>42.434569247546307</c:v>
                </c:pt>
                <c:pt idx="272">
                  <c:v>42.434569247546307</c:v>
                </c:pt>
                <c:pt idx="273">
                  <c:v>42.762266196801313</c:v>
                </c:pt>
                <c:pt idx="274">
                  <c:v>43.040194227137853</c:v>
                </c:pt>
                <c:pt idx="275">
                  <c:v>43.185816754635255</c:v>
                </c:pt>
                <c:pt idx="276">
                  <c:v>43.316230083715894</c:v>
                </c:pt>
                <c:pt idx="277">
                  <c:v>43.476504645213353</c:v>
                </c:pt>
                <c:pt idx="278">
                  <c:v>43.476504645213353</c:v>
                </c:pt>
                <c:pt idx="279">
                  <c:v>43.476504645213353</c:v>
                </c:pt>
                <c:pt idx="280">
                  <c:v>43.635875402792657</c:v>
                </c:pt>
                <c:pt idx="281">
                  <c:v>43.990319978488913</c:v>
                </c:pt>
                <c:pt idx="282">
                  <c:v>44.59187776437475</c:v>
                </c:pt>
                <c:pt idx="283">
                  <c:v>44.982698961937714</c:v>
                </c:pt>
                <c:pt idx="284">
                  <c:v>44.982698961937714</c:v>
                </c:pt>
                <c:pt idx="285">
                  <c:v>44.982698961937714</c:v>
                </c:pt>
                <c:pt idx="286">
                  <c:v>44.982698961937714</c:v>
                </c:pt>
                <c:pt idx="287">
                  <c:v>46.885465505693141</c:v>
                </c:pt>
                <c:pt idx="288">
                  <c:v>47.613396624472578</c:v>
                </c:pt>
                <c:pt idx="289">
                  <c:v>49.482596425211604</c:v>
                </c:pt>
                <c:pt idx="290">
                  <c:v>50.277777777777779</c:v>
                </c:pt>
                <c:pt idx="291">
                  <c:v>51.289773471258314</c:v>
                </c:pt>
                <c:pt idx="292">
                  <c:v>51.289773471258314</c:v>
                </c:pt>
              </c:numCache>
            </c:numRef>
          </c:val>
        </c:ser>
        <c:marker val="1"/>
        <c:axId val="231325056"/>
        <c:axId val="231326848"/>
      </c:lineChart>
      <c:dateAx>
        <c:axId val="231321984"/>
        <c:scaling>
          <c:orientation val="minMax"/>
        </c:scaling>
        <c:axPos val="b"/>
        <c:numFmt formatCode="yy/m" sourceLinked="0"/>
        <c:tickLblPos val="nextTo"/>
        <c:txPr>
          <a:bodyPr rot="-2700000"/>
          <a:lstStyle/>
          <a:p>
            <a:pPr>
              <a:defRPr sz="800"/>
            </a:pPr>
            <a:endParaRPr lang="zh-CN"/>
          </a:p>
        </c:txPr>
        <c:crossAx val="231323520"/>
        <c:crosses val="autoZero"/>
        <c:auto val="1"/>
        <c:lblOffset val="100"/>
        <c:majorUnit val="1"/>
      </c:dateAx>
      <c:valAx>
        <c:axId val="231323520"/>
        <c:scaling>
          <c:orientation val="minMax"/>
          <c:min val="180000"/>
        </c:scaling>
        <c:axPos val="l"/>
        <c:majorGridlines/>
        <c:numFmt formatCode="#,##0_ " sourceLinked="0"/>
        <c:tickLblPos val="nextTo"/>
        <c:txPr>
          <a:bodyPr/>
          <a:lstStyle/>
          <a:p>
            <a:pPr>
              <a:defRPr sz="800"/>
            </a:pPr>
            <a:endParaRPr lang="zh-CN"/>
          </a:p>
        </c:txPr>
        <c:crossAx val="231321984"/>
        <c:crosses val="autoZero"/>
        <c:crossBetween val="between"/>
        <c:majorUnit val="20000"/>
      </c:valAx>
      <c:dateAx>
        <c:axId val="231325056"/>
        <c:scaling>
          <c:orientation val="minMax"/>
        </c:scaling>
        <c:delete val="1"/>
        <c:axPos val="b"/>
        <c:numFmt formatCode="yyyy/m/d" sourceLinked="1"/>
        <c:tickLblPos val="none"/>
        <c:crossAx val="231326848"/>
        <c:crosses val="autoZero"/>
        <c:auto val="1"/>
        <c:lblOffset val="100"/>
      </c:dateAx>
      <c:valAx>
        <c:axId val="231326848"/>
        <c:scaling>
          <c:orientation val="minMax"/>
        </c:scaling>
        <c:axPos val="r"/>
        <c:numFmt formatCode="0_ " sourceLinked="0"/>
        <c:tickLblPos val="nextTo"/>
        <c:txPr>
          <a:bodyPr/>
          <a:lstStyle/>
          <a:p>
            <a:pPr>
              <a:defRPr sz="800"/>
            </a:pPr>
            <a:endParaRPr lang="zh-CN"/>
          </a:p>
        </c:txPr>
        <c:crossAx val="231325056"/>
        <c:crosses val="max"/>
        <c:crossBetween val="between"/>
      </c:valAx>
    </c:plotArea>
    <c:legend>
      <c:legendPos val="r"/>
      <c:layout>
        <c:manualLayout>
          <c:xMode val="edge"/>
          <c:yMode val="edge"/>
          <c:x val="0.1936677413930501"/>
          <c:y val="1.3006487396622802E-3"/>
          <c:w val="0.6778534716586716"/>
          <c:h val="0.1024652107165851"/>
        </c:manualLayout>
      </c:layout>
      <c:txPr>
        <a:bodyPr/>
        <a:lstStyle/>
        <a:p>
          <a:pPr>
            <a:defRPr sz="800"/>
          </a:pPr>
          <a:endParaRPr lang="zh-CN"/>
        </a:p>
      </c:txPr>
    </c:legend>
    <c:plotVisOnly val="1"/>
    <c:dispBlanksAs val="zero"/>
  </c:chart>
  <c:spPr>
    <a:solidFill>
      <a:sysClr val="window" lastClr="FFFFFF"/>
    </a:solidFill>
    <a:ln>
      <a:noFill/>
    </a:ln>
  </c:spPr>
  <c:txPr>
    <a:bodyPr/>
    <a:lstStyle/>
    <a:p>
      <a:pPr>
        <a:defRPr sz="900"/>
      </a:pPr>
      <a:endParaRPr lang="zh-CN"/>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9267448044527265E-2"/>
          <c:y val="0.15299864669343308"/>
          <c:w val="0.81047434107494531"/>
          <c:h val="0.60979243922621185"/>
        </c:manualLayout>
      </c:layout>
      <c:barChart>
        <c:barDir val="col"/>
        <c:grouping val="clustered"/>
        <c:ser>
          <c:idx val="0"/>
          <c:order val="0"/>
          <c:tx>
            <c:strRef>
              <c:f>国内铅产量、进出口量!$B$2</c:f>
              <c:strCache>
                <c:ptCount val="1"/>
                <c:pt idx="0">
                  <c:v>产量:铅:累计值</c:v>
                </c:pt>
              </c:strCache>
            </c:strRef>
          </c:tx>
          <c:cat>
            <c:numRef>
              <c:f>国内铅产量、进出口量!$A$4:$A$65</c:f>
              <c:numCache>
                <c:formatCode>yyyy\-mm;@</c:formatCode>
                <c:ptCount val="62"/>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pt idx="52">
                  <c:v>40147</c:v>
                </c:pt>
                <c:pt idx="53">
                  <c:v>40117</c:v>
                </c:pt>
                <c:pt idx="54">
                  <c:v>40086</c:v>
                </c:pt>
                <c:pt idx="55">
                  <c:v>40056</c:v>
                </c:pt>
                <c:pt idx="56">
                  <c:v>40025</c:v>
                </c:pt>
                <c:pt idx="57">
                  <c:v>39994</c:v>
                </c:pt>
                <c:pt idx="58">
                  <c:v>39964</c:v>
                </c:pt>
                <c:pt idx="59">
                  <c:v>39933</c:v>
                </c:pt>
                <c:pt idx="60">
                  <c:v>39903</c:v>
                </c:pt>
                <c:pt idx="61">
                  <c:v>39872</c:v>
                </c:pt>
              </c:numCache>
            </c:numRef>
          </c:cat>
          <c:val>
            <c:numRef>
              <c:f>国内铅产量、进出口量!$B$4:$B$65</c:f>
              <c:numCache>
                <c:formatCode>###,###,###,###,##0.00</c:formatCode>
                <c:ptCount val="62"/>
                <c:pt idx="0">
                  <c:v>137.81240000000014</c:v>
                </c:pt>
                <c:pt idx="1">
                  <c:v>106.4055</c:v>
                </c:pt>
                <c:pt idx="2">
                  <c:v>67.608799999999988</c:v>
                </c:pt>
                <c:pt idx="3">
                  <c:v>447.51119999999946</c:v>
                </c:pt>
                <c:pt idx="4">
                  <c:v>418.37619999999953</c:v>
                </c:pt>
                <c:pt idx="5">
                  <c:v>384.98559999999947</c:v>
                </c:pt>
                <c:pt idx="6">
                  <c:v>341.28569999999974</c:v>
                </c:pt>
                <c:pt idx="7">
                  <c:v>302.84800000000001</c:v>
                </c:pt>
                <c:pt idx="8">
                  <c:v>265.41149999999959</c:v>
                </c:pt>
                <c:pt idx="9">
                  <c:v>227.0402</c:v>
                </c:pt>
                <c:pt idx="10">
                  <c:v>185.85040000000018</c:v>
                </c:pt>
                <c:pt idx="11">
                  <c:v>146.4297</c:v>
                </c:pt>
                <c:pt idx="12">
                  <c:v>107.61190000000002</c:v>
                </c:pt>
                <c:pt idx="13">
                  <c:v>65</c:v>
                </c:pt>
                <c:pt idx="14">
                  <c:v>32.5</c:v>
                </c:pt>
                <c:pt idx="15">
                  <c:v>464.5727</c:v>
                </c:pt>
                <c:pt idx="16">
                  <c:v>449.12029999999999</c:v>
                </c:pt>
                <c:pt idx="17">
                  <c:v>404.64760000000035</c:v>
                </c:pt>
                <c:pt idx="18">
                  <c:v>357.37490000000008</c:v>
                </c:pt>
                <c:pt idx="19">
                  <c:v>315.3</c:v>
                </c:pt>
                <c:pt idx="20">
                  <c:v>268.2</c:v>
                </c:pt>
                <c:pt idx="21">
                  <c:v>226.6</c:v>
                </c:pt>
                <c:pt idx="22">
                  <c:v>160.9</c:v>
                </c:pt>
                <c:pt idx="23">
                  <c:v>125.9</c:v>
                </c:pt>
                <c:pt idx="24">
                  <c:v>92.3</c:v>
                </c:pt>
                <c:pt idx="25">
                  <c:v>57.9</c:v>
                </c:pt>
                <c:pt idx="26">
                  <c:v>26.6965</c:v>
                </c:pt>
                <c:pt idx="27">
                  <c:v>473.2</c:v>
                </c:pt>
                <c:pt idx="28">
                  <c:v>429.5</c:v>
                </c:pt>
                <c:pt idx="29">
                  <c:v>392.2</c:v>
                </c:pt>
                <c:pt idx="30">
                  <c:v>350</c:v>
                </c:pt>
                <c:pt idx="31">
                  <c:v>308.60000000000002</c:v>
                </c:pt>
                <c:pt idx="32">
                  <c:v>265.7</c:v>
                </c:pt>
                <c:pt idx="33">
                  <c:v>230.2</c:v>
                </c:pt>
                <c:pt idx="34">
                  <c:v>185.9</c:v>
                </c:pt>
                <c:pt idx="35">
                  <c:v>151.30000000000001</c:v>
                </c:pt>
                <c:pt idx="36">
                  <c:v>111</c:v>
                </c:pt>
                <c:pt idx="37">
                  <c:v>57.4</c:v>
                </c:pt>
                <c:pt idx="38">
                  <c:v>28.163599999999978</c:v>
                </c:pt>
                <c:pt idx="39">
                  <c:v>431.6</c:v>
                </c:pt>
                <c:pt idx="40">
                  <c:v>395.4</c:v>
                </c:pt>
                <c:pt idx="41">
                  <c:v>348.2</c:v>
                </c:pt>
                <c:pt idx="42">
                  <c:v>306.65660000000008</c:v>
                </c:pt>
                <c:pt idx="43">
                  <c:v>264.5</c:v>
                </c:pt>
                <c:pt idx="44">
                  <c:v>222.1</c:v>
                </c:pt>
                <c:pt idx="45">
                  <c:v>155.6</c:v>
                </c:pt>
                <c:pt idx="46">
                  <c:v>124.8</c:v>
                </c:pt>
                <c:pt idx="47">
                  <c:v>116.2</c:v>
                </c:pt>
                <c:pt idx="48">
                  <c:v>85.9</c:v>
                </c:pt>
                <c:pt idx="49">
                  <c:v>52.2</c:v>
                </c:pt>
                <c:pt idx="50">
                  <c:v>28.465399999999963</c:v>
                </c:pt>
                <c:pt idx="51">
                  <c:v>387.1</c:v>
                </c:pt>
                <c:pt idx="52">
                  <c:v>345.8</c:v>
                </c:pt>
                <c:pt idx="53">
                  <c:v>315.89999999999969</c:v>
                </c:pt>
                <c:pt idx="54">
                  <c:v>284.2</c:v>
                </c:pt>
                <c:pt idx="55">
                  <c:v>250.4</c:v>
                </c:pt>
                <c:pt idx="56">
                  <c:v>206.3</c:v>
                </c:pt>
                <c:pt idx="57">
                  <c:v>171</c:v>
                </c:pt>
                <c:pt idx="58">
                  <c:v>135.9</c:v>
                </c:pt>
                <c:pt idx="59">
                  <c:v>107.4</c:v>
                </c:pt>
                <c:pt idx="60">
                  <c:v>74.2</c:v>
                </c:pt>
                <c:pt idx="61">
                  <c:v>39.200000000000003</c:v>
                </c:pt>
              </c:numCache>
            </c:numRef>
          </c:val>
        </c:ser>
        <c:axId val="231336576"/>
        <c:axId val="231784448"/>
      </c:barChart>
      <c:lineChart>
        <c:grouping val="standard"/>
        <c:ser>
          <c:idx val="1"/>
          <c:order val="1"/>
          <c:tx>
            <c:strRef>
              <c:f>国内铅产量、进出口量!$C$2</c:f>
              <c:strCache>
                <c:ptCount val="1"/>
                <c:pt idx="0">
                  <c:v>产量:铅:累计同比</c:v>
                </c:pt>
              </c:strCache>
            </c:strRef>
          </c:tx>
          <c:marker>
            <c:symbol val="none"/>
          </c:marker>
          <c:cat>
            <c:numRef>
              <c:f>国内铅产量、进出口量!$A$4:$A$65</c:f>
              <c:numCache>
                <c:formatCode>yyyy\-mm;@</c:formatCode>
                <c:ptCount val="62"/>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pt idx="52">
                  <c:v>40147</c:v>
                </c:pt>
                <c:pt idx="53">
                  <c:v>40117</c:v>
                </c:pt>
                <c:pt idx="54">
                  <c:v>40086</c:v>
                </c:pt>
                <c:pt idx="55">
                  <c:v>40056</c:v>
                </c:pt>
                <c:pt idx="56">
                  <c:v>40025</c:v>
                </c:pt>
                <c:pt idx="57">
                  <c:v>39994</c:v>
                </c:pt>
                <c:pt idx="58">
                  <c:v>39964</c:v>
                </c:pt>
                <c:pt idx="59">
                  <c:v>39933</c:v>
                </c:pt>
                <c:pt idx="60">
                  <c:v>39903</c:v>
                </c:pt>
                <c:pt idx="61">
                  <c:v>39872</c:v>
                </c:pt>
              </c:numCache>
            </c:numRef>
          </c:cat>
          <c:val>
            <c:numRef>
              <c:f>国内铅产量、进出口量!$C$4:$C$65</c:f>
              <c:numCache>
                <c:formatCode>###,###,###,###,##0.00</c:formatCode>
                <c:ptCount val="62"/>
                <c:pt idx="0">
                  <c:v>-3.1819000000000002</c:v>
                </c:pt>
                <c:pt idx="1">
                  <c:v>1.9071</c:v>
                </c:pt>
                <c:pt idx="2">
                  <c:v>6.07</c:v>
                </c:pt>
                <c:pt idx="3">
                  <c:v>5</c:v>
                </c:pt>
                <c:pt idx="4">
                  <c:v>6.05</c:v>
                </c:pt>
                <c:pt idx="5">
                  <c:v>6.1060999999999996</c:v>
                </c:pt>
                <c:pt idx="6">
                  <c:v>6.1624999999999952</c:v>
                </c:pt>
                <c:pt idx="7">
                  <c:v>8.3063000000000002</c:v>
                </c:pt>
                <c:pt idx="8">
                  <c:v>10.882400000000015</c:v>
                </c:pt>
                <c:pt idx="9">
                  <c:v>12.384600000000002</c:v>
                </c:pt>
                <c:pt idx="10">
                  <c:v>16.189399999999981</c:v>
                </c:pt>
                <c:pt idx="11">
                  <c:v>16.791399999999989</c:v>
                </c:pt>
                <c:pt idx="12">
                  <c:v>16.111900000000031</c:v>
                </c:pt>
                <c:pt idx="13">
                  <c:v>11.1</c:v>
                </c:pt>
                <c:pt idx="14">
                  <c:v>18.5899</c:v>
                </c:pt>
                <c:pt idx="15">
                  <c:v>9.3355000000000068</c:v>
                </c:pt>
                <c:pt idx="16">
                  <c:v>11.35390000000001</c:v>
                </c:pt>
                <c:pt idx="17">
                  <c:v>11.4475</c:v>
                </c:pt>
                <c:pt idx="18">
                  <c:v>10.931800000000001</c:v>
                </c:pt>
                <c:pt idx="19">
                  <c:v>9.6</c:v>
                </c:pt>
                <c:pt idx="20">
                  <c:v>8.9</c:v>
                </c:pt>
                <c:pt idx="21">
                  <c:v>8.9</c:v>
                </c:pt>
                <c:pt idx="22">
                  <c:v>-5.2</c:v>
                </c:pt>
                <c:pt idx="23">
                  <c:v>-8.8000000000000007</c:v>
                </c:pt>
                <c:pt idx="24">
                  <c:v>-8.7000000000000011</c:v>
                </c:pt>
                <c:pt idx="25">
                  <c:v>2.2999999999999998</c:v>
                </c:pt>
                <c:pt idx="26">
                  <c:v>-4.3171999999999953</c:v>
                </c:pt>
                <c:pt idx="27">
                  <c:v>12.5</c:v>
                </c:pt>
                <c:pt idx="28">
                  <c:v>12.4</c:v>
                </c:pt>
                <c:pt idx="29">
                  <c:v>13.5</c:v>
                </c:pt>
                <c:pt idx="30">
                  <c:v>15.1</c:v>
                </c:pt>
                <c:pt idx="31">
                  <c:v>17.5</c:v>
                </c:pt>
                <c:pt idx="32">
                  <c:v>20</c:v>
                </c:pt>
                <c:pt idx="33">
                  <c:v>25</c:v>
                </c:pt>
                <c:pt idx="34">
                  <c:v>26.1</c:v>
                </c:pt>
                <c:pt idx="35">
                  <c:v>33</c:v>
                </c:pt>
                <c:pt idx="36">
                  <c:v>31.4</c:v>
                </c:pt>
                <c:pt idx="37">
                  <c:v>30.2</c:v>
                </c:pt>
                <c:pt idx="38">
                  <c:v>19.8977</c:v>
                </c:pt>
                <c:pt idx="39">
                  <c:v>9.8000000000000007</c:v>
                </c:pt>
                <c:pt idx="40">
                  <c:v>9.2000000000000011</c:v>
                </c:pt>
                <c:pt idx="41">
                  <c:v>6.4</c:v>
                </c:pt>
                <c:pt idx="42">
                  <c:v>4.5755999999999997</c:v>
                </c:pt>
                <c:pt idx="43">
                  <c:v>2.4</c:v>
                </c:pt>
                <c:pt idx="44">
                  <c:v>3.8</c:v>
                </c:pt>
                <c:pt idx="45">
                  <c:v>-7.1</c:v>
                </c:pt>
                <c:pt idx="46">
                  <c:v>-6.4</c:v>
                </c:pt>
                <c:pt idx="47">
                  <c:v>4.5</c:v>
                </c:pt>
                <c:pt idx="48">
                  <c:v>12.4</c:v>
                </c:pt>
                <c:pt idx="49">
                  <c:v>26.4</c:v>
                </c:pt>
                <c:pt idx="50">
                  <c:v>43.591300000000011</c:v>
                </c:pt>
                <c:pt idx="51">
                  <c:v>16.399999999999999</c:v>
                </c:pt>
                <c:pt idx="52">
                  <c:v>16.5</c:v>
                </c:pt>
                <c:pt idx="53">
                  <c:v>19.399999999999999</c:v>
                </c:pt>
                <c:pt idx="54">
                  <c:v>20.9</c:v>
                </c:pt>
                <c:pt idx="55">
                  <c:v>22.9</c:v>
                </c:pt>
                <c:pt idx="56">
                  <c:v>19.399999999999999</c:v>
                </c:pt>
                <c:pt idx="57">
                  <c:v>20</c:v>
                </c:pt>
                <c:pt idx="58">
                  <c:v>20.399999999999999</c:v>
                </c:pt>
                <c:pt idx="59">
                  <c:v>23.7</c:v>
                </c:pt>
                <c:pt idx="60">
                  <c:v>23.9</c:v>
                </c:pt>
                <c:pt idx="61">
                  <c:v>14.3</c:v>
                </c:pt>
              </c:numCache>
            </c:numRef>
          </c:val>
        </c:ser>
        <c:marker val="1"/>
        <c:axId val="231787520"/>
        <c:axId val="231785984"/>
      </c:lineChart>
      <c:dateAx>
        <c:axId val="231336576"/>
        <c:scaling>
          <c:orientation val="minMax"/>
        </c:scaling>
        <c:axPos val="b"/>
        <c:numFmt formatCode="yyyy\-mm;@" sourceLinked="1"/>
        <c:tickLblPos val="nextTo"/>
        <c:txPr>
          <a:bodyPr/>
          <a:lstStyle/>
          <a:p>
            <a:pPr>
              <a:defRPr sz="800"/>
            </a:pPr>
            <a:endParaRPr lang="zh-CN"/>
          </a:p>
        </c:txPr>
        <c:crossAx val="231784448"/>
        <c:crosses val="autoZero"/>
        <c:auto val="1"/>
        <c:lblOffset val="100"/>
      </c:dateAx>
      <c:valAx>
        <c:axId val="231784448"/>
        <c:scaling>
          <c:orientation val="minMax"/>
        </c:scaling>
        <c:axPos val="l"/>
        <c:majorGridlines/>
        <c:numFmt formatCode="General" sourceLinked="0"/>
        <c:tickLblPos val="nextTo"/>
        <c:txPr>
          <a:bodyPr/>
          <a:lstStyle/>
          <a:p>
            <a:pPr>
              <a:defRPr sz="800"/>
            </a:pPr>
            <a:endParaRPr lang="zh-CN"/>
          </a:p>
        </c:txPr>
        <c:crossAx val="231336576"/>
        <c:crosses val="autoZero"/>
        <c:crossBetween val="between"/>
      </c:valAx>
      <c:valAx>
        <c:axId val="231785984"/>
        <c:scaling>
          <c:orientation val="minMax"/>
        </c:scaling>
        <c:axPos val="r"/>
        <c:numFmt formatCode="General" sourceLinked="0"/>
        <c:tickLblPos val="nextTo"/>
        <c:txPr>
          <a:bodyPr/>
          <a:lstStyle/>
          <a:p>
            <a:pPr>
              <a:defRPr sz="800"/>
            </a:pPr>
            <a:endParaRPr lang="zh-CN"/>
          </a:p>
        </c:txPr>
        <c:crossAx val="231787520"/>
        <c:crosses val="max"/>
        <c:crossBetween val="between"/>
      </c:valAx>
      <c:dateAx>
        <c:axId val="231787520"/>
        <c:scaling>
          <c:orientation val="minMax"/>
        </c:scaling>
        <c:delete val="1"/>
        <c:axPos val="b"/>
        <c:numFmt formatCode="yyyy\-mm;@" sourceLinked="1"/>
        <c:tickLblPos val="none"/>
        <c:crossAx val="231785984"/>
        <c:crosses val="autoZero"/>
        <c:auto val="1"/>
        <c:lblOffset val="100"/>
      </c:dateAx>
    </c:plotArea>
    <c:legend>
      <c:legendPos val="t"/>
      <c:layout>
        <c:manualLayout>
          <c:xMode val="edge"/>
          <c:yMode val="edge"/>
          <c:x val="0.15349201141524102"/>
          <c:y val="0"/>
          <c:w val="0.69301571678540264"/>
          <c:h val="9.8702733951345711E-2"/>
        </c:manualLayout>
      </c:layout>
      <c:txPr>
        <a:bodyPr/>
        <a:lstStyle/>
        <a:p>
          <a:pPr>
            <a:defRPr sz="900"/>
          </a:pPr>
          <a:endParaRPr lang="zh-CN"/>
        </a:p>
      </c:txPr>
    </c:legend>
    <c:plotVisOnly val="1"/>
    <c:dispBlanksAs val="gap"/>
  </c:chart>
  <c:spPr>
    <a:ln>
      <a:noFill/>
    </a:ln>
  </c:sp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4036591675784736E-2"/>
          <c:y val="0.17945645463167303"/>
          <c:w val="0.80329936218838371"/>
          <c:h val="0.58707856736634656"/>
        </c:manualLayout>
      </c:layout>
      <c:barChart>
        <c:barDir val="col"/>
        <c:grouping val="clustered"/>
        <c:ser>
          <c:idx val="0"/>
          <c:order val="0"/>
          <c:tx>
            <c:strRef>
              <c:f>国内铅产量、进出口量!$E$2</c:f>
              <c:strCache>
                <c:ptCount val="1"/>
                <c:pt idx="0">
                  <c:v>产量:铅选矿产品含铅量:累计值</c:v>
                </c:pt>
              </c:strCache>
            </c:strRef>
          </c:tx>
          <c:cat>
            <c:numRef>
              <c:f>国内铅产量、进出口量!$D$4:$D$64</c:f>
              <c:numCache>
                <c:formatCode>yyyy\-mm;@</c:formatCode>
                <c:ptCount val="61"/>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40939</c:v>
                </c:pt>
                <c:pt idx="26">
                  <c:v>40908</c:v>
                </c:pt>
                <c:pt idx="27">
                  <c:v>40877</c:v>
                </c:pt>
                <c:pt idx="28">
                  <c:v>40847</c:v>
                </c:pt>
                <c:pt idx="29">
                  <c:v>40816</c:v>
                </c:pt>
                <c:pt idx="30">
                  <c:v>40786</c:v>
                </c:pt>
                <c:pt idx="31">
                  <c:v>40755</c:v>
                </c:pt>
                <c:pt idx="32">
                  <c:v>40724</c:v>
                </c:pt>
                <c:pt idx="33">
                  <c:v>40694</c:v>
                </c:pt>
                <c:pt idx="34">
                  <c:v>40663</c:v>
                </c:pt>
                <c:pt idx="35">
                  <c:v>40633</c:v>
                </c:pt>
                <c:pt idx="36">
                  <c:v>40602</c:v>
                </c:pt>
                <c:pt idx="37">
                  <c:v>40574</c:v>
                </c:pt>
                <c:pt idx="38">
                  <c:v>40543</c:v>
                </c:pt>
                <c:pt idx="39">
                  <c:v>40512</c:v>
                </c:pt>
                <c:pt idx="40">
                  <c:v>40482</c:v>
                </c:pt>
                <c:pt idx="41">
                  <c:v>40451</c:v>
                </c:pt>
                <c:pt idx="42">
                  <c:v>40421</c:v>
                </c:pt>
                <c:pt idx="43">
                  <c:v>40390</c:v>
                </c:pt>
                <c:pt idx="44">
                  <c:v>40359</c:v>
                </c:pt>
                <c:pt idx="45">
                  <c:v>40329</c:v>
                </c:pt>
                <c:pt idx="46">
                  <c:v>40298</c:v>
                </c:pt>
                <c:pt idx="47">
                  <c:v>40268</c:v>
                </c:pt>
                <c:pt idx="48">
                  <c:v>40237</c:v>
                </c:pt>
                <c:pt idx="49">
                  <c:v>40209</c:v>
                </c:pt>
                <c:pt idx="50">
                  <c:v>40178</c:v>
                </c:pt>
                <c:pt idx="51">
                  <c:v>40147</c:v>
                </c:pt>
                <c:pt idx="52">
                  <c:v>40117</c:v>
                </c:pt>
                <c:pt idx="53">
                  <c:v>40086</c:v>
                </c:pt>
                <c:pt idx="54">
                  <c:v>40056</c:v>
                </c:pt>
                <c:pt idx="55">
                  <c:v>40025</c:v>
                </c:pt>
                <c:pt idx="56">
                  <c:v>39994</c:v>
                </c:pt>
                <c:pt idx="57">
                  <c:v>39964</c:v>
                </c:pt>
                <c:pt idx="58">
                  <c:v>39933</c:v>
                </c:pt>
                <c:pt idx="59">
                  <c:v>39903</c:v>
                </c:pt>
                <c:pt idx="60">
                  <c:v>39872</c:v>
                </c:pt>
              </c:numCache>
            </c:numRef>
          </c:cat>
          <c:val>
            <c:numRef>
              <c:f>国内铅产量、进出口量!$E$4:$E$64</c:f>
              <c:numCache>
                <c:formatCode>###,###,###,###,##0.00</c:formatCode>
                <c:ptCount val="61"/>
                <c:pt idx="0">
                  <c:v>74.337900000000005</c:v>
                </c:pt>
                <c:pt idx="1">
                  <c:v>52.474599999999995</c:v>
                </c:pt>
                <c:pt idx="2">
                  <c:v>28.492399999999979</c:v>
                </c:pt>
                <c:pt idx="3">
                  <c:v>314.97809999999953</c:v>
                </c:pt>
                <c:pt idx="4">
                  <c:v>294.15240000000034</c:v>
                </c:pt>
                <c:pt idx="5">
                  <c:v>262.41119999999944</c:v>
                </c:pt>
                <c:pt idx="6">
                  <c:v>233.7929</c:v>
                </c:pt>
                <c:pt idx="7">
                  <c:v>201.6052</c:v>
                </c:pt>
                <c:pt idx="8">
                  <c:v>173.893</c:v>
                </c:pt>
                <c:pt idx="9">
                  <c:v>146.14559999999992</c:v>
                </c:pt>
                <c:pt idx="10">
                  <c:v>112.8939</c:v>
                </c:pt>
                <c:pt idx="11">
                  <c:v>85.763999999999996</c:v>
                </c:pt>
                <c:pt idx="12">
                  <c:v>60.564400000000006</c:v>
                </c:pt>
                <c:pt idx="13">
                  <c:v>32.398700000000012</c:v>
                </c:pt>
                <c:pt idx="14">
                  <c:v>286.04759999999999</c:v>
                </c:pt>
                <c:pt idx="15">
                  <c:v>266.74790000000002</c:v>
                </c:pt>
                <c:pt idx="16">
                  <c:v>239.68190000000001</c:v>
                </c:pt>
                <c:pt idx="17">
                  <c:v>213.74369999999985</c:v>
                </c:pt>
                <c:pt idx="18">
                  <c:v>213.76369999999986</c:v>
                </c:pt>
                <c:pt idx="19">
                  <c:v>182.761</c:v>
                </c:pt>
                <c:pt idx="20">
                  <c:v>154.92880000000014</c:v>
                </c:pt>
                <c:pt idx="21">
                  <c:v>140.0865</c:v>
                </c:pt>
                <c:pt idx="22">
                  <c:v>103.78959999999999</c:v>
                </c:pt>
                <c:pt idx="23">
                  <c:v>72.385599999999982</c:v>
                </c:pt>
                <c:pt idx="24">
                  <c:v>74.220399999999998</c:v>
                </c:pt>
                <c:pt idx="25">
                  <c:v>18.693300000000001</c:v>
                </c:pt>
                <c:pt idx="26">
                  <c:v>267.64220000000034</c:v>
                </c:pt>
                <c:pt idx="27">
                  <c:v>247.77159999999998</c:v>
                </c:pt>
                <c:pt idx="28">
                  <c:v>215.30280000000013</c:v>
                </c:pt>
                <c:pt idx="29">
                  <c:v>187.80880000000013</c:v>
                </c:pt>
                <c:pt idx="30">
                  <c:v>231.83770000000001</c:v>
                </c:pt>
                <c:pt idx="31">
                  <c:v>136.58410000000001</c:v>
                </c:pt>
                <c:pt idx="32">
                  <c:v>116.3056</c:v>
                </c:pt>
                <c:pt idx="33">
                  <c:v>90.197800000000001</c:v>
                </c:pt>
                <c:pt idx="34">
                  <c:v>65.253100000000003</c:v>
                </c:pt>
                <c:pt idx="35">
                  <c:v>46.256</c:v>
                </c:pt>
                <c:pt idx="36">
                  <c:v>23.292599999999975</c:v>
                </c:pt>
                <c:pt idx="37">
                  <c:v>12.536</c:v>
                </c:pt>
                <c:pt idx="38">
                  <c:v>219.38980000000001</c:v>
                </c:pt>
                <c:pt idx="39">
                  <c:v>204.85570000000001</c:v>
                </c:pt>
                <c:pt idx="40">
                  <c:v>182.98240000000021</c:v>
                </c:pt>
                <c:pt idx="41">
                  <c:v>162.84369999999998</c:v>
                </c:pt>
                <c:pt idx="42">
                  <c:v>143.4616</c:v>
                </c:pt>
                <c:pt idx="43">
                  <c:v>119.81019999999999</c:v>
                </c:pt>
                <c:pt idx="44">
                  <c:v>97.623199999999983</c:v>
                </c:pt>
                <c:pt idx="45">
                  <c:v>73.61839999999998</c:v>
                </c:pt>
                <c:pt idx="46">
                  <c:v>52.5533</c:v>
                </c:pt>
                <c:pt idx="47">
                  <c:v>33.758400000000002</c:v>
                </c:pt>
                <c:pt idx="48">
                  <c:v>19.540299999999974</c:v>
                </c:pt>
                <c:pt idx="49">
                  <c:v>10.5976</c:v>
                </c:pt>
                <c:pt idx="50">
                  <c:v>159.03290000000001</c:v>
                </c:pt>
                <c:pt idx="51">
                  <c:v>141.52610000000001</c:v>
                </c:pt>
                <c:pt idx="52">
                  <c:v>126.4778</c:v>
                </c:pt>
                <c:pt idx="53">
                  <c:v>107.6682</c:v>
                </c:pt>
                <c:pt idx="54">
                  <c:v>92.364599999999996</c:v>
                </c:pt>
                <c:pt idx="55">
                  <c:v>77.567700000000002</c:v>
                </c:pt>
                <c:pt idx="56">
                  <c:v>62.552800000000005</c:v>
                </c:pt>
                <c:pt idx="57">
                  <c:v>48.234300000000012</c:v>
                </c:pt>
                <c:pt idx="58">
                  <c:v>32.057399999999994</c:v>
                </c:pt>
                <c:pt idx="59">
                  <c:v>22.442299999999964</c:v>
                </c:pt>
                <c:pt idx="60">
                  <c:v>11.505500000000008</c:v>
                </c:pt>
              </c:numCache>
            </c:numRef>
          </c:val>
        </c:ser>
        <c:axId val="231756160"/>
        <c:axId val="231757696"/>
      </c:barChart>
      <c:lineChart>
        <c:grouping val="standard"/>
        <c:ser>
          <c:idx val="1"/>
          <c:order val="1"/>
          <c:tx>
            <c:strRef>
              <c:f>国内铅产量、进出口量!$F$2</c:f>
              <c:strCache>
                <c:ptCount val="1"/>
                <c:pt idx="0">
                  <c:v>产量:铅选矿产品含铅量:累计同比</c:v>
                </c:pt>
              </c:strCache>
            </c:strRef>
          </c:tx>
          <c:marker>
            <c:symbol val="none"/>
          </c:marker>
          <c:cat>
            <c:numRef>
              <c:f>国内铅产量、进出口量!$D$4:$D$64</c:f>
              <c:numCache>
                <c:formatCode>yyyy\-mm;@</c:formatCode>
                <c:ptCount val="61"/>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40939</c:v>
                </c:pt>
                <c:pt idx="26">
                  <c:v>40908</c:v>
                </c:pt>
                <c:pt idx="27">
                  <c:v>40877</c:v>
                </c:pt>
                <c:pt idx="28">
                  <c:v>40847</c:v>
                </c:pt>
                <c:pt idx="29">
                  <c:v>40816</c:v>
                </c:pt>
                <c:pt idx="30">
                  <c:v>40786</c:v>
                </c:pt>
                <c:pt idx="31">
                  <c:v>40755</c:v>
                </c:pt>
                <c:pt idx="32">
                  <c:v>40724</c:v>
                </c:pt>
                <c:pt idx="33">
                  <c:v>40694</c:v>
                </c:pt>
                <c:pt idx="34">
                  <c:v>40663</c:v>
                </c:pt>
                <c:pt idx="35">
                  <c:v>40633</c:v>
                </c:pt>
                <c:pt idx="36">
                  <c:v>40602</c:v>
                </c:pt>
                <c:pt idx="37">
                  <c:v>40574</c:v>
                </c:pt>
                <c:pt idx="38">
                  <c:v>40543</c:v>
                </c:pt>
                <c:pt idx="39">
                  <c:v>40512</c:v>
                </c:pt>
                <c:pt idx="40">
                  <c:v>40482</c:v>
                </c:pt>
                <c:pt idx="41">
                  <c:v>40451</c:v>
                </c:pt>
                <c:pt idx="42">
                  <c:v>40421</c:v>
                </c:pt>
                <c:pt idx="43">
                  <c:v>40390</c:v>
                </c:pt>
                <c:pt idx="44">
                  <c:v>40359</c:v>
                </c:pt>
                <c:pt idx="45">
                  <c:v>40329</c:v>
                </c:pt>
                <c:pt idx="46">
                  <c:v>40298</c:v>
                </c:pt>
                <c:pt idx="47">
                  <c:v>40268</c:v>
                </c:pt>
                <c:pt idx="48">
                  <c:v>40237</c:v>
                </c:pt>
                <c:pt idx="49">
                  <c:v>40209</c:v>
                </c:pt>
                <c:pt idx="50">
                  <c:v>40178</c:v>
                </c:pt>
                <c:pt idx="51">
                  <c:v>40147</c:v>
                </c:pt>
                <c:pt idx="52">
                  <c:v>40117</c:v>
                </c:pt>
                <c:pt idx="53">
                  <c:v>40086</c:v>
                </c:pt>
                <c:pt idx="54">
                  <c:v>40056</c:v>
                </c:pt>
                <c:pt idx="55">
                  <c:v>40025</c:v>
                </c:pt>
                <c:pt idx="56">
                  <c:v>39994</c:v>
                </c:pt>
                <c:pt idx="57">
                  <c:v>39964</c:v>
                </c:pt>
                <c:pt idx="58">
                  <c:v>39933</c:v>
                </c:pt>
                <c:pt idx="59">
                  <c:v>39903</c:v>
                </c:pt>
                <c:pt idx="60">
                  <c:v>39872</c:v>
                </c:pt>
              </c:numCache>
            </c:numRef>
          </c:cat>
          <c:val>
            <c:numRef>
              <c:f>国内铅产量、进出口量!$F$4:$F$64</c:f>
              <c:numCache>
                <c:formatCode>###,###,###,###,##0.00</c:formatCode>
                <c:ptCount val="61"/>
                <c:pt idx="0">
                  <c:v>-8.4003000000000014</c:v>
                </c:pt>
                <c:pt idx="1">
                  <c:v>-13.7927</c:v>
                </c:pt>
                <c:pt idx="2">
                  <c:v>-10.7675</c:v>
                </c:pt>
                <c:pt idx="3">
                  <c:v>13.166</c:v>
                </c:pt>
                <c:pt idx="4">
                  <c:v>12.2996</c:v>
                </c:pt>
                <c:pt idx="5">
                  <c:v>10.544500000000001</c:v>
                </c:pt>
                <c:pt idx="6">
                  <c:v>10.329400000000009</c:v>
                </c:pt>
                <c:pt idx="7">
                  <c:v>-4.6436000000000002</c:v>
                </c:pt>
                <c:pt idx="8">
                  <c:v>-4.7816000000000045</c:v>
                </c:pt>
                <c:pt idx="9">
                  <c:v>-5.1019999999999985</c:v>
                </c:pt>
                <c:pt idx="10">
                  <c:v>-8.4692000000000007</c:v>
                </c:pt>
                <c:pt idx="11">
                  <c:v>-11.938899999999999</c:v>
                </c:pt>
                <c:pt idx="12">
                  <c:v>-16.7362</c:v>
                </c:pt>
                <c:pt idx="13">
                  <c:v>-56.449999999999996</c:v>
                </c:pt>
                <c:pt idx="14">
                  <c:v>15.190300000000001</c:v>
                </c:pt>
                <c:pt idx="15">
                  <c:v>19.175899999999999</c:v>
                </c:pt>
                <c:pt idx="16">
                  <c:v>20.221299999999989</c:v>
                </c:pt>
                <c:pt idx="17">
                  <c:v>22.7669</c:v>
                </c:pt>
                <c:pt idx="18">
                  <c:v>-8.7907999999999991</c:v>
                </c:pt>
                <c:pt idx="19">
                  <c:v>32.735100000000045</c:v>
                </c:pt>
                <c:pt idx="20">
                  <c:v>33.389199999999995</c:v>
                </c:pt>
                <c:pt idx="21">
                  <c:v>34.127900000000011</c:v>
                </c:pt>
                <c:pt idx="22">
                  <c:v>39.249200000000002</c:v>
                </c:pt>
                <c:pt idx="23">
                  <c:v>38.690100000000037</c:v>
                </c:pt>
                <c:pt idx="24">
                  <c:v>195.36820000000017</c:v>
                </c:pt>
                <c:pt idx="25">
                  <c:v>41.966100000000012</c:v>
                </c:pt>
                <c:pt idx="26">
                  <c:v>28.9542</c:v>
                </c:pt>
                <c:pt idx="27">
                  <c:v>34.863100000000003</c:v>
                </c:pt>
                <c:pt idx="28">
                  <c:v>29.885199999999976</c:v>
                </c:pt>
                <c:pt idx="29">
                  <c:v>27.562799999999964</c:v>
                </c:pt>
                <c:pt idx="30">
                  <c:v>80.272699999999986</c:v>
                </c:pt>
                <c:pt idx="31">
                  <c:v>25.251000000000001</c:v>
                </c:pt>
                <c:pt idx="32">
                  <c:v>28.232599999999977</c:v>
                </c:pt>
                <c:pt idx="33">
                  <c:v>31.568099999999976</c:v>
                </c:pt>
                <c:pt idx="34">
                  <c:v>30.436800000000005</c:v>
                </c:pt>
                <c:pt idx="35">
                  <c:v>30.152200000000001</c:v>
                </c:pt>
                <c:pt idx="36">
                  <c:v>18.1614</c:v>
                </c:pt>
                <c:pt idx="37">
                  <c:v>15.157500000000002</c:v>
                </c:pt>
                <c:pt idx="38">
                  <c:v>32.253100000000003</c:v>
                </c:pt>
                <c:pt idx="39">
                  <c:v>40.197100000000013</c:v>
                </c:pt>
                <c:pt idx="40">
                  <c:v>33.130600000000001</c:v>
                </c:pt>
                <c:pt idx="41">
                  <c:v>38.702300000000037</c:v>
                </c:pt>
                <c:pt idx="42">
                  <c:v>50.740900000000003</c:v>
                </c:pt>
                <c:pt idx="43">
                  <c:v>47.4893</c:v>
                </c:pt>
                <c:pt idx="44">
                  <c:v>49.228700000000046</c:v>
                </c:pt>
                <c:pt idx="45">
                  <c:v>51.4009</c:v>
                </c:pt>
                <c:pt idx="46">
                  <c:v>71.770399999999981</c:v>
                </c:pt>
                <c:pt idx="47">
                  <c:v>64.870199999999983</c:v>
                </c:pt>
                <c:pt idx="48">
                  <c:v>62.085500000000003</c:v>
                </c:pt>
                <c:pt idx="49">
                  <c:v>89.658199999999979</c:v>
                </c:pt>
                <c:pt idx="50">
                  <c:v>21.227799999999974</c:v>
                </c:pt>
                <c:pt idx="51">
                  <c:v>18.434000000000001</c:v>
                </c:pt>
                <c:pt idx="52">
                  <c:v>13.5405</c:v>
                </c:pt>
                <c:pt idx="53">
                  <c:v>8.2575000000000003</c:v>
                </c:pt>
                <c:pt idx="54">
                  <c:v>6.6772</c:v>
                </c:pt>
                <c:pt idx="55">
                  <c:v>6.218</c:v>
                </c:pt>
                <c:pt idx="56">
                  <c:v>4.5988999999999995</c:v>
                </c:pt>
                <c:pt idx="57">
                  <c:v>6.3290999999999995</c:v>
                </c:pt>
                <c:pt idx="58">
                  <c:v>-3.6223999999999998</c:v>
                </c:pt>
                <c:pt idx="59">
                  <c:v>7.0177999999999985</c:v>
                </c:pt>
                <c:pt idx="60">
                  <c:v>-3.4117999999999977</c:v>
                </c:pt>
              </c:numCache>
            </c:numRef>
          </c:val>
        </c:ser>
        <c:marker val="1"/>
        <c:axId val="233772160"/>
        <c:axId val="231759232"/>
      </c:lineChart>
      <c:dateAx>
        <c:axId val="231756160"/>
        <c:scaling>
          <c:orientation val="minMax"/>
        </c:scaling>
        <c:axPos val="b"/>
        <c:numFmt formatCode="yyyy\-mm;@" sourceLinked="1"/>
        <c:tickLblPos val="nextTo"/>
        <c:txPr>
          <a:bodyPr/>
          <a:lstStyle/>
          <a:p>
            <a:pPr>
              <a:defRPr sz="800"/>
            </a:pPr>
            <a:endParaRPr lang="zh-CN"/>
          </a:p>
        </c:txPr>
        <c:crossAx val="231757696"/>
        <c:crosses val="autoZero"/>
        <c:auto val="1"/>
        <c:lblOffset val="100"/>
      </c:dateAx>
      <c:valAx>
        <c:axId val="231757696"/>
        <c:scaling>
          <c:orientation val="minMax"/>
        </c:scaling>
        <c:axPos val="l"/>
        <c:majorGridlines/>
        <c:numFmt formatCode="General" sourceLinked="0"/>
        <c:tickLblPos val="nextTo"/>
        <c:txPr>
          <a:bodyPr/>
          <a:lstStyle/>
          <a:p>
            <a:pPr>
              <a:defRPr sz="800"/>
            </a:pPr>
            <a:endParaRPr lang="zh-CN"/>
          </a:p>
        </c:txPr>
        <c:crossAx val="231756160"/>
        <c:crosses val="autoZero"/>
        <c:crossBetween val="between"/>
      </c:valAx>
      <c:valAx>
        <c:axId val="231759232"/>
        <c:scaling>
          <c:orientation val="minMax"/>
        </c:scaling>
        <c:axPos val="r"/>
        <c:numFmt formatCode="General" sourceLinked="0"/>
        <c:tickLblPos val="nextTo"/>
        <c:txPr>
          <a:bodyPr/>
          <a:lstStyle/>
          <a:p>
            <a:pPr>
              <a:defRPr sz="800"/>
            </a:pPr>
            <a:endParaRPr lang="zh-CN"/>
          </a:p>
        </c:txPr>
        <c:crossAx val="233772160"/>
        <c:crosses val="max"/>
        <c:crossBetween val="between"/>
      </c:valAx>
      <c:dateAx>
        <c:axId val="233772160"/>
        <c:scaling>
          <c:orientation val="minMax"/>
        </c:scaling>
        <c:delete val="1"/>
        <c:axPos val="b"/>
        <c:numFmt formatCode="yyyy\-mm;@" sourceLinked="1"/>
        <c:tickLblPos val="none"/>
        <c:crossAx val="231759232"/>
        <c:crosses val="autoZero"/>
        <c:auto val="1"/>
        <c:lblOffset val="100"/>
      </c:dateAx>
    </c:plotArea>
    <c:legend>
      <c:legendPos val="t"/>
      <c:layout>
        <c:manualLayout>
          <c:xMode val="edge"/>
          <c:yMode val="edge"/>
          <c:x val="0.23891427281655891"/>
          <c:y val="0"/>
          <c:w val="0.54682211649642365"/>
          <c:h val="0.1588497912155579"/>
        </c:manualLayout>
      </c:layout>
      <c:txPr>
        <a:bodyPr/>
        <a:lstStyle/>
        <a:p>
          <a:pPr>
            <a:defRPr sz="800"/>
          </a:pPr>
          <a:endParaRPr lang="zh-CN"/>
        </a:p>
      </c:txPr>
    </c:legend>
    <c:plotVisOnly val="1"/>
    <c:dispBlanksAs val="gap"/>
  </c:chart>
  <c:spPr>
    <a:ln>
      <a:noFill/>
    </a:ln>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430318900509549"/>
          <c:y val="0.13342197271876688"/>
          <c:w val="0.7476086397531545"/>
          <c:h val="0.65485083961195989"/>
        </c:manualLayout>
      </c:layout>
      <c:barChart>
        <c:barDir val="col"/>
        <c:grouping val="clustered"/>
        <c:ser>
          <c:idx val="0"/>
          <c:order val="0"/>
          <c:tx>
            <c:strRef>
              <c:f>国内铅产量、进出口量!$T$2</c:f>
              <c:strCache>
                <c:ptCount val="1"/>
                <c:pt idx="0">
                  <c:v>进口数量:铅矿砂及精矿:累计值</c:v>
                </c:pt>
              </c:strCache>
            </c:strRef>
          </c:tx>
          <c:cat>
            <c:numRef>
              <c:f>国内铅产量、进出口量!$S$4:$S$51</c:f>
              <c:numCache>
                <c:formatCode>yyyy\-mm;@</c:formatCode>
                <c:ptCount val="48"/>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pt idx="46">
                  <c:v>40359</c:v>
                </c:pt>
                <c:pt idx="47">
                  <c:v>40329</c:v>
                </c:pt>
              </c:numCache>
            </c:numRef>
          </c:cat>
          <c:val>
            <c:numRef>
              <c:f>国内铅产量、进出口量!$T$4:$T$51</c:f>
              <c:numCache>
                <c:formatCode>###,###,###,###,##0.00</c:formatCode>
                <c:ptCount val="48"/>
                <c:pt idx="0">
                  <c:v>486874</c:v>
                </c:pt>
                <c:pt idx="1">
                  <c:v>390239</c:v>
                </c:pt>
                <c:pt idx="2">
                  <c:v>236929</c:v>
                </c:pt>
                <c:pt idx="3">
                  <c:v>149197</c:v>
                </c:pt>
                <c:pt idx="4">
                  <c:v>1492571</c:v>
                </c:pt>
                <c:pt idx="5">
                  <c:v>1362296</c:v>
                </c:pt>
                <c:pt idx="6">
                  <c:v>1257790</c:v>
                </c:pt>
                <c:pt idx="7">
                  <c:v>1052612</c:v>
                </c:pt>
                <c:pt idx="8">
                  <c:v>920969</c:v>
                </c:pt>
                <c:pt idx="9">
                  <c:v>774867</c:v>
                </c:pt>
                <c:pt idx="10">
                  <c:v>640979</c:v>
                </c:pt>
                <c:pt idx="11">
                  <c:v>545492</c:v>
                </c:pt>
                <c:pt idx="12">
                  <c:v>445004</c:v>
                </c:pt>
                <c:pt idx="13">
                  <c:v>346532</c:v>
                </c:pt>
                <c:pt idx="14">
                  <c:v>245734</c:v>
                </c:pt>
                <c:pt idx="15">
                  <c:v>135434</c:v>
                </c:pt>
                <c:pt idx="16">
                  <c:v>1815125</c:v>
                </c:pt>
                <c:pt idx="17">
                  <c:v>1699955</c:v>
                </c:pt>
                <c:pt idx="18">
                  <c:v>1529466</c:v>
                </c:pt>
                <c:pt idx="19">
                  <c:v>1329846</c:v>
                </c:pt>
                <c:pt idx="20">
                  <c:v>1139016</c:v>
                </c:pt>
                <c:pt idx="21">
                  <c:v>925408</c:v>
                </c:pt>
                <c:pt idx="22">
                  <c:v>757612</c:v>
                </c:pt>
                <c:pt idx="23">
                  <c:v>677420</c:v>
                </c:pt>
                <c:pt idx="24">
                  <c:v>538189</c:v>
                </c:pt>
                <c:pt idx="25">
                  <c:v>403598</c:v>
                </c:pt>
                <c:pt idx="26">
                  <c:v>256065</c:v>
                </c:pt>
                <c:pt idx="27">
                  <c:v>88707</c:v>
                </c:pt>
                <c:pt idx="28">
                  <c:v>1444400</c:v>
                </c:pt>
                <c:pt idx="29">
                  <c:v>1306236</c:v>
                </c:pt>
                <c:pt idx="30">
                  <c:v>1170311</c:v>
                </c:pt>
                <c:pt idx="31">
                  <c:v>1052333</c:v>
                </c:pt>
                <c:pt idx="32">
                  <c:v>892293</c:v>
                </c:pt>
                <c:pt idx="33">
                  <c:v>750899</c:v>
                </c:pt>
                <c:pt idx="34">
                  <c:v>661035</c:v>
                </c:pt>
                <c:pt idx="35">
                  <c:v>572306</c:v>
                </c:pt>
                <c:pt idx="36">
                  <c:v>488582</c:v>
                </c:pt>
                <c:pt idx="37">
                  <c:v>352806</c:v>
                </c:pt>
                <c:pt idx="38">
                  <c:v>251637</c:v>
                </c:pt>
                <c:pt idx="39">
                  <c:v>162953.35099999985</c:v>
                </c:pt>
                <c:pt idx="40">
                  <c:v>1603796</c:v>
                </c:pt>
                <c:pt idx="41">
                  <c:v>1474544</c:v>
                </c:pt>
                <c:pt idx="42">
                  <c:v>1306092</c:v>
                </c:pt>
                <c:pt idx="43">
                  <c:v>1122044</c:v>
                </c:pt>
                <c:pt idx="44">
                  <c:v>902706</c:v>
                </c:pt>
                <c:pt idx="45">
                  <c:v>726071</c:v>
                </c:pt>
                <c:pt idx="46">
                  <c:v>604363</c:v>
                </c:pt>
                <c:pt idx="47">
                  <c:v>484029</c:v>
                </c:pt>
              </c:numCache>
            </c:numRef>
          </c:val>
        </c:ser>
        <c:axId val="233807872"/>
        <c:axId val="233809408"/>
      </c:barChart>
      <c:lineChart>
        <c:grouping val="standard"/>
        <c:ser>
          <c:idx val="1"/>
          <c:order val="1"/>
          <c:tx>
            <c:strRef>
              <c:f>国内铅产量、进出口量!$V$2</c:f>
              <c:strCache>
                <c:ptCount val="1"/>
                <c:pt idx="0">
                  <c:v>累计同比</c:v>
                </c:pt>
              </c:strCache>
            </c:strRef>
          </c:tx>
          <c:marker>
            <c:symbol val="none"/>
          </c:marker>
          <c:cat>
            <c:numRef>
              <c:f>国内铅产量、进出口量!$S$4:$S$51</c:f>
              <c:numCache>
                <c:formatCode>yyyy\-mm;@</c:formatCode>
                <c:ptCount val="48"/>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pt idx="46">
                  <c:v>40359</c:v>
                </c:pt>
                <c:pt idx="47">
                  <c:v>40329</c:v>
                </c:pt>
              </c:numCache>
            </c:numRef>
          </c:cat>
          <c:val>
            <c:numRef>
              <c:f>国内铅产量、进出口量!$W$4:$W$51</c:f>
              <c:numCache>
                <c:formatCode>0.00%</c:formatCode>
                <c:ptCount val="48"/>
                <c:pt idx="0">
                  <c:v>9.4089041896252668E-2</c:v>
                </c:pt>
                <c:pt idx="1">
                  <c:v>0.126126880057253</c:v>
                </c:pt>
                <c:pt idx="2">
                  <c:v>-3.5831427478493064E-2</c:v>
                </c:pt>
                <c:pt idx="3">
                  <c:v>0.10162145399235052</c:v>
                </c:pt>
                <c:pt idx="4">
                  <c:v>-0.17770346394876391</c:v>
                </c:pt>
                <c:pt idx="5">
                  <c:v>-0.19862819898173775</c:v>
                </c:pt>
                <c:pt idx="6">
                  <c:v>-0.17762800872984427</c:v>
                </c:pt>
                <c:pt idx="7">
                  <c:v>-0.20847075526038353</c:v>
                </c:pt>
                <c:pt idx="8">
                  <c:v>-0.19143453647709976</c:v>
                </c:pt>
                <c:pt idx="9">
                  <c:v>-0.16267527404128768</c:v>
                </c:pt>
                <c:pt idx="10">
                  <c:v>-0.15394819511834584</c:v>
                </c:pt>
                <c:pt idx="11">
                  <c:v>-0.194750671666027</c:v>
                </c:pt>
                <c:pt idx="12">
                  <c:v>-0.17314549349763769</c:v>
                </c:pt>
                <c:pt idx="13">
                  <c:v>-0.14139316844979424</c:v>
                </c:pt>
                <c:pt idx="14">
                  <c:v>-4.0345224845254136E-2</c:v>
                </c:pt>
                <c:pt idx="15">
                  <c:v>0.52675662574543158</c:v>
                </c:pt>
                <c:pt idx="16">
                  <c:v>0.2566636665743563</c:v>
                </c:pt>
                <c:pt idx="17">
                  <c:v>0.301414905116687</c:v>
                </c:pt>
                <c:pt idx="18">
                  <c:v>0.30688851083173652</c:v>
                </c:pt>
                <c:pt idx="19">
                  <c:v>0.26371215195190117</c:v>
                </c:pt>
                <c:pt idx="20">
                  <c:v>0.27650446658216532</c:v>
                </c:pt>
                <c:pt idx="21">
                  <c:v>0.23240009641776083</c:v>
                </c:pt>
                <c:pt idx="22">
                  <c:v>0.14609967702164031</c:v>
                </c:pt>
                <c:pt idx="23">
                  <c:v>0.18366747858663046</c:v>
                </c:pt>
                <c:pt idx="24">
                  <c:v>0.10153259841746114</c:v>
                </c:pt>
                <c:pt idx="25">
                  <c:v>0.14396580557020036</c:v>
                </c:pt>
                <c:pt idx="26">
                  <c:v>1.7596776308730445E-2</c:v>
                </c:pt>
                <c:pt idx="27">
                  <c:v>-0.45562948257504687</c:v>
                </c:pt>
                <c:pt idx="28">
                  <c:v>-9.9386705042287207E-2</c:v>
                </c:pt>
                <c:pt idx="29">
                  <c:v>-0.11414240605909351</c:v>
                </c:pt>
                <c:pt idx="30">
                  <c:v>-0.10395975168671119</c:v>
                </c:pt>
                <c:pt idx="31">
                  <c:v>-6.2128579627893393E-2</c:v>
                </c:pt>
                <c:pt idx="32">
                  <c:v>-1.153531714644635E-2</c:v>
                </c:pt>
                <c:pt idx="33">
                  <c:v>3.4195002968029332E-2</c:v>
                </c:pt>
                <c:pt idx="34">
                  <c:v>9.3771458543954661E-2</c:v>
                </c:pt>
                <c:pt idx="35">
                  <c:v>0.18237956816637024</c:v>
                </c:pt>
                <c:pt idx="36">
                  <c:v>0.21462576662713892</c:v>
                </c:pt>
                <c:pt idx="37">
                  <c:v>0.13182233771233354</c:v>
                </c:pt>
                <c:pt idx="38">
                  <c:v>0.19921366788190736</c:v>
                </c:pt>
                <c:pt idx="39">
                  <c:v>0.50588527044385556</c:v>
                </c:pt>
                <c:pt idx="40">
                  <c:v>-6.4368228639936236E-4</c:v>
                </c:pt>
                <c:pt idx="41">
                  <c:v>0</c:v>
                </c:pt>
                <c:pt idx="42">
                  <c:v>-2.4411887293897254E-2</c:v>
                </c:pt>
                <c:pt idx="43">
                  <c:v>-6.1741196224701693E-2</c:v>
                </c:pt>
                <c:pt idx="44">
                  <c:v>-0.12440504654386247</c:v>
                </c:pt>
                <c:pt idx="45">
                  <c:v>-0.18154139237081807</c:v>
                </c:pt>
                <c:pt idx="46">
                  <c:v>-0.15329826208171948</c:v>
                </c:pt>
                <c:pt idx="47">
                  <c:v>-0.11944615754056399</c:v>
                </c:pt>
              </c:numCache>
            </c:numRef>
          </c:val>
        </c:ser>
        <c:marker val="1"/>
        <c:axId val="233837312"/>
        <c:axId val="233810944"/>
      </c:lineChart>
      <c:dateAx>
        <c:axId val="233807872"/>
        <c:scaling>
          <c:orientation val="minMax"/>
        </c:scaling>
        <c:axPos val="b"/>
        <c:numFmt formatCode="yyyy\-mm;@" sourceLinked="1"/>
        <c:tickLblPos val="nextTo"/>
        <c:txPr>
          <a:bodyPr/>
          <a:lstStyle/>
          <a:p>
            <a:pPr>
              <a:defRPr sz="800"/>
            </a:pPr>
            <a:endParaRPr lang="zh-CN"/>
          </a:p>
        </c:txPr>
        <c:crossAx val="233809408"/>
        <c:crosses val="autoZero"/>
        <c:auto val="1"/>
        <c:lblOffset val="100"/>
      </c:dateAx>
      <c:valAx>
        <c:axId val="233809408"/>
        <c:scaling>
          <c:orientation val="minMax"/>
        </c:scaling>
        <c:axPos val="l"/>
        <c:majorGridlines/>
        <c:numFmt formatCode="General" sourceLinked="0"/>
        <c:tickLblPos val="nextTo"/>
        <c:txPr>
          <a:bodyPr/>
          <a:lstStyle/>
          <a:p>
            <a:pPr>
              <a:defRPr sz="800"/>
            </a:pPr>
            <a:endParaRPr lang="zh-CN"/>
          </a:p>
        </c:txPr>
        <c:crossAx val="233807872"/>
        <c:crosses val="autoZero"/>
        <c:crossBetween val="between"/>
      </c:valAx>
      <c:valAx>
        <c:axId val="233810944"/>
        <c:scaling>
          <c:orientation val="minMax"/>
        </c:scaling>
        <c:axPos val="r"/>
        <c:numFmt formatCode="0%" sourceLinked="0"/>
        <c:tickLblPos val="nextTo"/>
        <c:txPr>
          <a:bodyPr/>
          <a:lstStyle/>
          <a:p>
            <a:pPr>
              <a:defRPr sz="800"/>
            </a:pPr>
            <a:endParaRPr lang="zh-CN"/>
          </a:p>
        </c:txPr>
        <c:crossAx val="233837312"/>
        <c:crosses val="max"/>
        <c:crossBetween val="between"/>
      </c:valAx>
      <c:dateAx>
        <c:axId val="233837312"/>
        <c:scaling>
          <c:orientation val="minMax"/>
        </c:scaling>
        <c:delete val="1"/>
        <c:axPos val="b"/>
        <c:numFmt formatCode="yyyy\-mm;@" sourceLinked="1"/>
        <c:tickLblPos val="none"/>
        <c:crossAx val="233810944"/>
        <c:crosses val="autoZero"/>
        <c:auto val="1"/>
        <c:lblOffset val="100"/>
      </c:dateAx>
    </c:plotArea>
    <c:legend>
      <c:legendPos val="t"/>
      <c:layout>
        <c:manualLayout>
          <c:xMode val="edge"/>
          <c:yMode val="edge"/>
          <c:x val="0.12356043471644262"/>
          <c:y val="5.0032008666962115E-3"/>
          <c:w val="0.75287886818394445"/>
          <c:h val="0.10340276751859002"/>
        </c:manualLayout>
      </c:layout>
      <c:txPr>
        <a:bodyPr/>
        <a:lstStyle/>
        <a:p>
          <a:pPr>
            <a:defRPr sz="800"/>
          </a:pPr>
          <a:endParaRPr lang="zh-CN"/>
        </a:p>
      </c:txPr>
    </c:legend>
    <c:plotVisOnly val="1"/>
    <c:dispBlanksAs val="gap"/>
  </c:chart>
  <c:spPr>
    <a:ln>
      <a:noFill/>
    </a:ln>
  </c:sp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112180860448118"/>
          <c:y val="0.1369746390146481"/>
          <c:w val="0.75754763191028462"/>
          <c:h val="0.64052402834658595"/>
        </c:manualLayout>
      </c:layout>
      <c:barChart>
        <c:barDir val="col"/>
        <c:grouping val="clustered"/>
        <c:ser>
          <c:idx val="0"/>
          <c:order val="0"/>
          <c:tx>
            <c:strRef>
              <c:f>国内铅产量、进出口量!$U$2</c:f>
              <c:strCache>
                <c:ptCount val="1"/>
                <c:pt idx="0">
                  <c:v>进口数量:精炼铅:累计值</c:v>
                </c:pt>
              </c:strCache>
            </c:strRef>
          </c:tx>
          <c:cat>
            <c:numRef>
              <c:f>国内铅产量、进出口量!$S$4:$S$51</c:f>
              <c:numCache>
                <c:formatCode>yyyy\-mm;@</c:formatCode>
                <c:ptCount val="48"/>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pt idx="46">
                  <c:v>40359</c:v>
                </c:pt>
                <c:pt idx="47">
                  <c:v>40329</c:v>
                </c:pt>
              </c:numCache>
            </c:numRef>
          </c:cat>
          <c:val>
            <c:numRef>
              <c:f>国内铅产量、进出口量!$U$4:$U$51</c:f>
              <c:numCache>
                <c:formatCode>###,###,###,###,##0.00</c:formatCode>
                <c:ptCount val="48"/>
                <c:pt idx="0">
                  <c:v>89</c:v>
                </c:pt>
                <c:pt idx="1">
                  <c:v>81</c:v>
                </c:pt>
                <c:pt idx="2">
                  <c:v>30</c:v>
                </c:pt>
                <c:pt idx="3">
                  <c:v>26</c:v>
                </c:pt>
                <c:pt idx="4">
                  <c:v>835</c:v>
                </c:pt>
                <c:pt idx="5">
                  <c:v>693</c:v>
                </c:pt>
                <c:pt idx="6">
                  <c:v>673</c:v>
                </c:pt>
                <c:pt idx="7">
                  <c:v>658</c:v>
                </c:pt>
                <c:pt idx="8">
                  <c:v>653</c:v>
                </c:pt>
                <c:pt idx="9">
                  <c:v>533</c:v>
                </c:pt>
                <c:pt idx="10">
                  <c:v>483</c:v>
                </c:pt>
                <c:pt idx="11">
                  <c:v>483</c:v>
                </c:pt>
                <c:pt idx="12">
                  <c:v>437</c:v>
                </c:pt>
                <c:pt idx="13">
                  <c:v>276</c:v>
                </c:pt>
                <c:pt idx="14">
                  <c:v>272</c:v>
                </c:pt>
                <c:pt idx="15">
                  <c:v>30</c:v>
                </c:pt>
                <c:pt idx="16">
                  <c:v>6830</c:v>
                </c:pt>
                <c:pt idx="17">
                  <c:v>6465</c:v>
                </c:pt>
                <c:pt idx="18">
                  <c:v>6255</c:v>
                </c:pt>
                <c:pt idx="19">
                  <c:v>5823</c:v>
                </c:pt>
                <c:pt idx="20">
                  <c:v>5214</c:v>
                </c:pt>
                <c:pt idx="21">
                  <c:v>4599</c:v>
                </c:pt>
                <c:pt idx="22">
                  <c:v>4154</c:v>
                </c:pt>
                <c:pt idx="23">
                  <c:v>3743</c:v>
                </c:pt>
                <c:pt idx="24">
                  <c:v>1902</c:v>
                </c:pt>
                <c:pt idx="25">
                  <c:v>1163</c:v>
                </c:pt>
                <c:pt idx="26">
                  <c:v>640</c:v>
                </c:pt>
                <c:pt idx="27">
                  <c:v>56</c:v>
                </c:pt>
                <c:pt idx="28">
                  <c:v>6611</c:v>
                </c:pt>
                <c:pt idx="29">
                  <c:v>6134</c:v>
                </c:pt>
                <c:pt idx="30">
                  <c:v>5598</c:v>
                </c:pt>
                <c:pt idx="31">
                  <c:v>5548</c:v>
                </c:pt>
                <c:pt idx="32">
                  <c:v>5000</c:v>
                </c:pt>
                <c:pt idx="33">
                  <c:v>4742</c:v>
                </c:pt>
                <c:pt idx="34">
                  <c:v>4489</c:v>
                </c:pt>
                <c:pt idx="35">
                  <c:v>4062</c:v>
                </c:pt>
                <c:pt idx="36">
                  <c:v>2422</c:v>
                </c:pt>
                <c:pt idx="37">
                  <c:v>1519</c:v>
                </c:pt>
                <c:pt idx="38">
                  <c:v>1002</c:v>
                </c:pt>
                <c:pt idx="39">
                  <c:v>479.26299999999969</c:v>
                </c:pt>
                <c:pt idx="40">
                  <c:v>21533</c:v>
                </c:pt>
                <c:pt idx="41">
                  <c:v>20770</c:v>
                </c:pt>
                <c:pt idx="42">
                  <c:v>19127</c:v>
                </c:pt>
                <c:pt idx="43">
                  <c:v>17971</c:v>
                </c:pt>
                <c:pt idx="44">
                  <c:v>14861</c:v>
                </c:pt>
                <c:pt idx="45">
                  <c:v>10847</c:v>
                </c:pt>
                <c:pt idx="46">
                  <c:v>8097</c:v>
                </c:pt>
                <c:pt idx="47">
                  <c:v>6459</c:v>
                </c:pt>
              </c:numCache>
            </c:numRef>
          </c:val>
        </c:ser>
        <c:axId val="233864576"/>
        <c:axId val="233878656"/>
      </c:barChart>
      <c:lineChart>
        <c:grouping val="standard"/>
        <c:ser>
          <c:idx val="1"/>
          <c:order val="1"/>
          <c:tx>
            <c:strRef>
              <c:f>国内铅产量、进出口量!$V$2</c:f>
              <c:strCache>
                <c:ptCount val="1"/>
                <c:pt idx="0">
                  <c:v>累计同比</c:v>
                </c:pt>
              </c:strCache>
            </c:strRef>
          </c:tx>
          <c:marker>
            <c:symbol val="none"/>
          </c:marker>
          <c:cat>
            <c:numRef>
              <c:f>国内铅产量、进出口量!$S$4:$S$51</c:f>
              <c:numCache>
                <c:formatCode>yyyy\-mm;@</c:formatCode>
                <c:ptCount val="48"/>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pt idx="46">
                  <c:v>40359</c:v>
                </c:pt>
                <c:pt idx="47">
                  <c:v>40329</c:v>
                </c:pt>
              </c:numCache>
            </c:numRef>
          </c:cat>
          <c:val>
            <c:numRef>
              <c:f>国内铅产量、进出口量!$V$4:$V$51</c:f>
              <c:numCache>
                <c:formatCode>0.00%</c:formatCode>
                <c:ptCount val="48"/>
                <c:pt idx="0">
                  <c:v>-0.79633867276887926</c:v>
                </c:pt>
                <c:pt idx="1">
                  <c:v>-0.70652173913043481</c:v>
                </c:pt>
                <c:pt idx="2">
                  <c:v>-0.88970588235294112</c:v>
                </c:pt>
                <c:pt idx="3">
                  <c:v>-0.13333333333333341</c:v>
                </c:pt>
                <c:pt idx="4">
                  <c:v>-0.87774524158125966</c:v>
                </c:pt>
                <c:pt idx="5">
                  <c:v>-0.89280742459396767</c:v>
                </c:pt>
                <c:pt idx="6">
                  <c:v>-0.89240607513988812</c:v>
                </c:pt>
                <c:pt idx="7">
                  <c:v>-0.88699982826721624</c:v>
                </c:pt>
                <c:pt idx="8">
                  <c:v>-0.87476026083621017</c:v>
                </c:pt>
                <c:pt idx="9">
                  <c:v>-0.88410524026962378</c:v>
                </c:pt>
                <c:pt idx="10">
                  <c:v>-0.88372652864708712</c:v>
                </c:pt>
                <c:pt idx="11">
                  <c:v>-0.87095912369756934</c:v>
                </c:pt>
                <c:pt idx="12">
                  <c:v>-0.77024185068349293</c:v>
                </c:pt>
                <c:pt idx="13">
                  <c:v>-0.76268271711092062</c:v>
                </c:pt>
                <c:pt idx="14">
                  <c:v>-0.57500000000000051</c:v>
                </c:pt>
                <c:pt idx="15">
                  <c:v>-0.4642857142857143</c:v>
                </c:pt>
                <c:pt idx="16">
                  <c:v>3.3126607169868399E-2</c:v>
                </c:pt>
                <c:pt idx="17">
                  <c:v>5.3961525921095536E-2</c:v>
                </c:pt>
                <c:pt idx="18">
                  <c:v>0.11736334405144699</c:v>
                </c:pt>
                <c:pt idx="19">
                  <c:v>4.9567411679884703E-2</c:v>
                </c:pt>
                <c:pt idx="20">
                  <c:v>4.2800000000000032E-2</c:v>
                </c:pt>
                <c:pt idx="21">
                  <c:v>-3.0156052298608169E-2</c:v>
                </c:pt>
                <c:pt idx="22">
                  <c:v>-7.4626865671641784E-2</c:v>
                </c:pt>
                <c:pt idx="23">
                  <c:v>-7.8532742491383561E-2</c:v>
                </c:pt>
                <c:pt idx="24">
                  <c:v>-0.2146985962014864</c:v>
                </c:pt>
                <c:pt idx="25">
                  <c:v>-0.23436471362738645</c:v>
                </c:pt>
                <c:pt idx="26">
                  <c:v>-0.36127744510978071</c:v>
                </c:pt>
                <c:pt idx="27">
                  <c:v>-0.8831539259237613</c:v>
                </c:pt>
                <c:pt idx="28">
                  <c:v>-0.69298286351181904</c:v>
                </c:pt>
                <c:pt idx="29">
                  <c:v>-0.70467019740009706</c:v>
                </c:pt>
                <c:pt idx="30">
                  <c:v>-0.70732472421184711</c:v>
                </c:pt>
                <c:pt idx="31">
                  <c:v>-0.69128039619386794</c:v>
                </c:pt>
                <c:pt idx="32">
                  <c:v>-0.66354888634681486</c:v>
                </c:pt>
                <c:pt idx="33">
                  <c:v>-0.56282843182446762</c:v>
                </c:pt>
                <c:pt idx="34">
                  <c:v>-0.44559713474126189</c:v>
                </c:pt>
                <c:pt idx="35">
                  <c:v>-0.37111007895959164</c:v>
                </c:pt>
                <c:pt idx="36">
                  <c:v>-0.26938159879336376</c:v>
                </c:pt>
                <c:pt idx="37">
                  <c:v>-0.50278232405891909</c:v>
                </c:pt>
                <c:pt idx="38">
                  <c:v>-0.49214394323365462</c:v>
                </c:pt>
                <c:pt idx="39">
                  <c:v>-0.69199035989717261</c:v>
                </c:pt>
                <c:pt idx="40">
                  <c:v>-0.86308172621432122</c:v>
                </c:pt>
                <c:pt idx="41">
                  <c:v>-0.8659887603476415</c:v>
                </c:pt>
                <c:pt idx="42">
                  <c:v>-0.8752079649770661</c:v>
                </c:pt>
                <c:pt idx="43">
                  <c:v>-0.88044837679616816</c:v>
                </c:pt>
                <c:pt idx="44">
                  <c:v>-0.89707237001586049</c:v>
                </c:pt>
                <c:pt idx="45">
                  <c:v>-0.92205487130107411</c:v>
                </c:pt>
                <c:pt idx="46">
                  <c:v>-0.93654736809109218</c:v>
                </c:pt>
                <c:pt idx="47">
                  <c:v>-0.9413324855806342</c:v>
                </c:pt>
              </c:numCache>
            </c:numRef>
          </c:val>
        </c:ser>
        <c:marker val="1"/>
        <c:axId val="233881984"/>
        <c:axId val="233880192"/>
      </c:lineChart>
      <c:dateAx>
        <c:axId val="233864576"/>
        <c:scaling>
          <c:orientation val="minMax"/>
        </c:scaling>
        <c:axPos val="b"/>
        <c:numFmt formatCode="yyyy\-mm;@" sourceLinked="1"/>
        <c:tickLblPos val="nextTo"/>
        <c:txPr>
          <a:bodyPr/>
          <a:lstStyle/>
          <a:p>
            <a:pPr>
              <a:defRPr sz="800"/>
            </a:pPr>
            <a:endParaRPr lang="zh-CN"/>
          </a:p>
        </c:txPr>
        <c:crossAx val="233878656"/>
        <c:crosses val="autoZero"/>
        <c:auto val="1"/>
        <c:lblOffset val="100"/>
      </c:dateAx>
      <c:valAx>
        <c:axId val="233878656"/>
        <c:scaling>
          <c:orientation val="minMax"/>
          <c:max val="20000"/>
        </c:scaling>
        <c:axPos val="l"/>
        <c:majorGridlines/>
        <c:numFmt formatCode="General" sourceLinked="0"/>
        <c:tickLblPos val="nextTo"/>
        <c:txPr>
          <a:bodyPr/>
          <a:lstStyle/>
          <a:p>
            <a:pPr>
              <a:defRPr sz="800"/>
            </a:pPr>
            <a:endParaRPr lang="zh-CN"/>
          </a:p>
        </c:txPr>
        <c:crossAx val="233864576"/>
        <c:crosses val="autoZero"/>
        <c:crossBetween val="between"/>
      </c:valAx>
      <c:valAx>
        <c:axId val="233880192"/>
        <c:scaling>
          <c:orientation val="minMax"/>
        </c:scaling>
        <c:axPos val="r"/>
        <c:numFmt formatCode="0%" sourceLinked="0"/>
        <c:tickLblPos val="nextTo"/>
        <c:txPr>
          <a:bodyPr/>
          <a:lstStyle/>
          <a:p>
            <a:pPr>
              <a:defRPr sz="800"/>
            </a:pPr>
            <a:endParaRPr lang="zh-CN"/>
          </a:p>
        </c:txPr>
        <c:crossAx val="233881984"/>
        <c:crosses val="max"/>
        <c:crossBetween val="between"/>
      </c:valAx>
      <c:dateAx>
        <c:axId val="233881984"/>
        <c:scaling>
          <c:orientation val="minMax"/>
        </c:scaling>
        <c:delete val="1"/>
        <c:axPos val="b"/>
        <c:numFmt formatCode="yyyy\-mm;@" sourceLinked="1"/>
        <c:tickLblPos val="none"/>
        <c:crossAx val="233880192"/>
        <c:crosses val="autoZero"/>
        <c:auto val="1"/>
        <c:lblOffset val="100"/>
      </c:dateAx>
    </c:plotArea>
    <c:legend>
      <c:legendPos val="t"/>
      <c:layout>
        <c:manualLayout>
          <c:xMode val="edge"/>
          <c:yMode val="edge"/>
          <c:x val="0.15706394351782105"/>
          <c:y val="0"/>
          <c:w val="0.6858718390130808"/>
          <c:h val="0.10095974936435741"/>
        </c:manualLayout>
      </c:layout>
      <c:txPr>
        <a:bodyPr/>
        <a:lstStyle/>
        <a:p>
          <a:pPr>
            <a:defRPr sz="800"/>
          </a:pPr>
          <a:endParaRPr lang="zh-CN"/>
        </a:p>
      </c:txPr>
    </c:legend>
    <c:plotVisOnly val="1"/>
    <c:dispBlanksAs val="gap"/>
  </c:chart>
  <c:spPr>
    <a:ln>
      <a:noFill/>
    </a:ln>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5624447595740429"/>
          <c:y val="0.13710647438557697"/>
          <c:w val="0.74365195028984232"/>
          <c:h val="0.66018747761001495"/>
        </c:manualLayout>
      </c:layout>
      <c:barChart>
        <c:barDir val="col"/>
        <c:grouping val="clustered"/>
        <c:ser>
          <c:idx val="0"/>
          <c:order val="0"/>
          <c:tx>
            <c:v>铅酸蓄电池产量：当月值</c:v>
          </c:tx>
          <c:cat>
            <c:numRef>
              <c:f>铅下游!$A$4:$A$51</c:f>
              <c:numCache>
                <c:formatCode>yyyy\-mm;@</c:formatCode>
                <c:ptCount val="48"/>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40939</c:v>
                </c:pt>
                <c:pt idx="26">
                  <c:v>40908</c:v>
                </c:pt>
                <c:pt idx="27">
                  <c:v>40877</c:v>
                </c:pt>
                <c:pt idx="28">
                  <c:v>40847</c:v>
                </c:pt>
                <c:pt idx="29">
                  <c:v>40816</c:v>
                </c:pt>
                <c:pt idx="30">
                  <c:v>40786</c:v>
                </c:pt>
                <c:pt idx="31">
                  <c:v>40755</c:v>
                </c:pt>
                <c:pt idx="32">
                  <c:v>40724</c:v>
                </c:pt>
                <c:pt idx="33">
                  <c:v>40694</c:v>
                </c:pt>
                <c:pt idx="34">
                  <c:v>40663</c:v>
                </c:pt>
                <c:pt idx="35">
                  <c:v>40633</c:v>
                </c:pt>
                <c:pt idx="36">
                  <c:v>40602</c:v>
                </c:pt>
                <c:pt idx="37">
                  <c:v>40574</c:v>
                </c:pt>
                <c:pt idx="38">
                  <c:v>40543</c:v>
                </c:pt>
                <c:pt idx="39">
                  <c:v>40512</c:v>
                </c:pt>
                <c:pt idx="40">
                  <c:v>40482</c:v>
                </c:pt>
                <c:pt idx="41">
                  <c:v>40451</c:v>
                </c:pt>
                <c:pt idx="42">
                  <c:v>40421</c:v>
                </c:pt>
                <c:pt idx="43">
                  <c:v>40390</c:v>
                </c:pt>
                <c:pt idx="44">
                  <c:v>40359</c:v>
                </c:pt>
                <c:pt idx="45">
                  <c:v>40329</c:v>
                </c:pt>
                <c:pt idx="46">
                  <c:v>40298</c:v>
                </c:pt>
                <c:pt idx="47">
                  <c:v>40268</c:v>
                </c:pt>
              </c:numCache>
            </c:numRef>
          </c:cat>
          <c:val>
            <c:numRef>
              <c:f>铅下游!$B$4:$B$51</c:f>
              <c:numCache>
                <c:formatCode>###,###,###,###,##0.00</c:formatCode>
                <c:ptCount val="48"/>
                <c:pt idx="0">
                  <c:v>17566798.479999997</c:v>
                </c:pt>
                <c:pt idx="1">
                  <c:v>19165986.16</c:v>
                </c:pt>
                <c:pt idx="2">
                  <c:v>0</c:v>
                </c:pt>
                <c:pt idx="3">
                  <c:v>19441001.170000009</c:v>
                </c:pt>
                <c:pt idx="4">
                  <c:v>18560023.98999998</c:v>
                </c:pt>
                <c:pt idx="5">
                  <c:v>18235395.050000001</c:v>
                </c:pt>
                <c:pt idx="6">
                  <c:v>18514955.41</c:v>
                </c:pt>
                <c:pt idx="7">
                  <c:v>15839921.58</c:v>
                </c:pt>
                <c:pt idx="8">
                  <c:v>16668778.83</c:v>
                </c:pt>
                <c:pt idx="9">
                  <c:v>17286991.210000001</c:v>
                </c:pt>
                <c:pt idx="10">
                  <c:v>15788176.82</c:v>
                </c:pt>
                <c:pt idx="11">
                  <c:v>15552490.68999999</c:v>
                </c:pt>
                <c:pt idx="12">
                  <c:v>18692775.559999999</c:v>
                </c:pt>
                <c:pt idx="13">
                  <c:v>0</c:v>
                </c:pt>
                <c:pt idx="14">
                  <c:v>15949110.68999999</c:v>
                </c:pt>
                <c:pt idx="15">
                  <c:v>15264410.369999999</c:v>
                </c:pt>
                <c:pt idx="16">
                  <c:v>15710951.350000009</c:v>
                </c:pt>
                <c:pt idx="17">
                  <c:v>15754048.03999999</c:v>
                </c:pt>
                <c:pt idx="18">
                  <c:v>14989196.94999999</c:v>
                </c:pt>
                <c:pt idx="19">
                  <c:v>14878976.66</c:v>
                </c:pt>
                <c:pt idx="20">
                  <c:v>16832177.219999999</c:v>
                </c:pt>
                <c:pt idx="21">
                  <c:v>15335860.08</c:v>
                </c:pt>
                <c:pt idx="22">
                  <c:v>14101259.28999999</c:v>
                </c:pt>
                <c:pt idx="23">
                  <c:v>14589125.60999999</c:v>
                </c:pt>
                <c:pt idx="24">
                  <c:v>12362629.310000002</c:v>
                </c:pt>
                <c:pt idx="25">
                  <c:v>10187282.130000001</c:v>
                </c:pt>
                <c:pt idx="26">
                  <c:v>13102824.09</c:v>
                </c:pt>
                <c:pt idx="27">
                  <c:v>14550876.16</c:v>
                </c:pt>
                <c:pt idx="28">
                  <c:v>11714481.19999999</c:v>
                </c:pt>
                <c:pt idx="29">
                  <c:v>11533932.239999989</c:v>
                </c:pt>
                <c:pt idx="30">
                  <c:v>10990955.76</c:v>
                </c:pt>
                <c:pt idx="31">
                  <c:v>10066574.630000001</c:v>
                </c:pt>
                <c:pt idx="32">
                  <c:v>9652474.52999999</c:v>
                </c:pt>
                <c:pt idx="33">
                  <c:v>11835990.01</c:v>
                </c:pt>
                <c:pt idx="34">
                  <c:v>12362529.68999999</c:v>
                </c:pt>
                <c:pt idx="35">
                  <c:v>12702290.26</c:v>
                </c:pt>
                <c:pt idx="36">
                  <c:v>10880933.729999991</c:v>
                </c:pt>
                <c:pt idx="37">
                  <c:v>11301069.98</c:v>
                </c:pt>
                <c:pt idx="38">
                  <c:v>14139613.84</c:v>
                </c:pt>
                <c:pt idx="39">
                  <c:v>13516665.060000002</c:v>
                </c:pt>
                <c:pt idx="40">
                  <c:v>12681547.93999999</c:v>
                </c:pt>
                <c:pt idx="41">
                  <c:v>12568777.960000006</c:v>
                </c:pt>
                <c:pt idx="42">
                  <c:v>12016801.75</c:v>
                </c:pt>
                <c:pt idx="43">
                  <c:v>11067322.43999999</c:v>
                </c:pt>
                <c:pt idx="44">
                  <c:v>11912092.33</c:v>
                </c:pt>
                <c:pt idx="45">
                  <c:v>12686972.07</c:v>
                </c:pt>
                <c:pt idx="46">
                  <c:v>12110979.1</c:v>
                </c:pt>
                <c:pt idx="47">
                  <c:v>11100166</c:v>
                </c:pt>
              </c:numCache>
            </c:numRef>
          </c:val>
        </c:ser>
        <c:axId val="233901056"/>
        <c:axId val="233906944"/>
      </c:barChart>
      <c:lineChart>
        <c:grouping val="standard"/>
        <c:ser>
          <c:idx val="1"/>
          <c:order val="1"/>
          <c:tx>
            <c:v>当月同比（右轴）</c:v>
          </c:tx>
          <c:marker>
            <c:symbol val="none"/>
          </c:marker>
          <c:cat>
            <c:numRef>
              <c:f>铅下游!$A$4:$A$51</c:f>
              <c:numCache>
                <c:formatCode>yyyy\-mm;@</c:formatCode>
                <c:ptCount val="48"/>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40939</c:v>
                </c:pt>
                <c:pt idx="26">
                  <c:v>40908</c:v>
                </c:pt>
                <c:pt idx="27">
                  <c:v>40877</c:v>
                </c:pt>
                <c:pt idx="28">
                  <c:v>40847</c:v>
                </c:pt>
                <c:pt idx="29">
                  <c:v>40816</c:v>
                </c:pt>
                <c:pt idx="30">
                  <c:v>40786</c:v>
                </c:pt>
                <c:pt idx="31">
                  <c:v>40755</c:v>
                </c:pt>
                <c:pt idx="32">
                  <c:v>40724</c:v>
                </c:pt>
                <c:pt idx="33">
                  <c:v>40694</c:v>
                </c:pt>
                <c:pt idx="34">
                  <c:v>40663</c:v>
                </c:pt>
                <c:pt idx="35">
                  <c:v>40633</c:v>
                </c:pt>
                <c:pt idx="36">
                  <c:v>40602</c:v>
                </c:pt>
                <c:pt idx="37">
                  <c:v>40574</c:v>
                </c:pt>
                <c:pt idx="38">
                  <c:v>40543</c:v>
                </c:pt>
                <c:pt idx="39">
                  <c:v>40512</c:v>
                </c:pt>
                <c:pt idx="40">
                  <c:v>40482</c:v>
                </c:pt>
                <c:pt idx="41">
                  <c:v>40451</c:v>
                </c:pt>
                <c:pt idx="42">
                  <c:v>40421</c:v>
                </c:pt>
                <c:pt idx="43">
                  <c:v>40390</c:v>
                </c:pt>
                <c:pt idx="44">
                  <c:v>40359</c:v>
                </c:pt>
                <c:pt idx="45">
                  <c:v>40329</c:v>
                </c:pt>
                <c:pt idx="46">
                  <c:v>40298</c:v>
                </c:pt>
                <c:pt idx="47">
                  <c:v>40268</c:v>
                </c:pt>
              </c:numCache>
            </c:numRef>
          </c:cat>
          <c:val>
            <c:numRef>
              <c:f>铅下游!$C$4:$C$51</c:f>
              <c:numCache>
                <c:formatCode>###,###,###,###,##0.00</c:formatCode>
                <c:ptCount val="48"/>
                <c:pt idx="0">
                  <c:v>12.415500000000009</c:v>
                </c:pt>
                <c:pt idx="1">
                  <c:v>7.4101999999999997</c:v>
                </c:pt>
                <c:pt idx="2">
                  <c:v>0</c:v>
                </c:pt>
                <c:pt idx="3">
                  <c:v>20.8874</c:v>
                </c:pt>
                <c:pt idx="4">
                  <c:v>22.809899999999999</c:v>
                </c:pt>
                <c:pt idx="5">
                  <c:v>16.207799999999978</c:v>
                </c:pt>
                <c:pt idx="6">
                  <c:v>16.601900000000018</c:v>
                </c:pt>
                <c:pt idx="7">
                  <c:v>2.1040999999999999</c:v>
                </c:pt>
                <c:pt idx="8">
                  <c:v>8.5435000000000034</c:v>
                </c:pt>
                <c:pt idx="9">
                  <c:v>-0.22370000000000001</c:v>
                </c:pt>
                <c:pt idx="10">
                  <c:v>5.6704999999999997</c:v>
                </c:pt>
                <c:pt idx="11">
                  <c:v>6.8348999999999975</c:v>
                </c:pt>
                <c:pt idx="12">
                  <c:v>22.439599999999977</c:v>
                </c:pt>
                <c:pt idx="13">
                  <c:v>0</c:v>
                </c:pt>
                <c:pt idx="14">
                  <c:v>26.194299999999988</c:v>
                </c:pt>
                <c:pt idx="15">
                  <c:v>5.9739000000000004</c:v>
                </c:pt>
                <c:pt idx="16">
                  <c:v>27.581199999999978</c:v>
                </c:pt>
                <c:pt idx="17">
                  <c:v>26.439900000000005</c:v>
                </c:pt>
                <c:pt idx="18">
                  <c:v>35.372900000000001</c:v>
                </c:pt>
                <c:pt idx="19">
                  <c:v>44.6798</c:v>
                </c:pt>
                <c:pt idx="20">
                  <c:v>71.4983</c:v>
                </c:pt>
                <c:pt idx="21">
                  <c:v>29.947599999999976</c:v>
                </c:pt>
                <c:pt idx="22">
                  <c:v>21.586099999999973</c:v>
                </c:pt>
                <c:pt idx="23">
                  <c:v>23.3764</c:v>
                </c:pt>
                <c:pt idx="24">
                  <c:v>20.109200000000001</c:v>
                </c:pt>
                <c:pt idx="25">
                  <c:v>-5.2103000000000002</c:v>
                </c:pt>
                <c:pt idx="26">
                  <c:v>-0.34730000000000028</c:v>
                </c:pt>
                <c:pt idx="27">
                  <c:v>16.65790000000003</c:v>
                </c:pt>
                <c:pt idx="28">
                  <c:v>-3.9163999999999977</c:v>
                </c:pt>
                <c:pt idx="29">
                  <c:v>-2.6446999999999998</c:v>
                </c:pt>
                <c:pt idx="30">
                  <c:v>-6.8076999999999996</c:v>
                </c:pt>
                <c:pt idx="31">
                  <c:v>-7.2398000000000033</c:v>
                </c:pt>
                <c:pt idx="32">
                  <c:v>-18.417200000000001</c:v>
                </c:pt>
                <c:pt idx="33">
                  <c:v>6.5857000000000001</c:v>
                </c:pt>
                <c:pt idx="34">
                  <c:v>10.579600000000006</c:v>
                </c:pt>
                <c:pt idx="35">
                  <c:v>11.0519</c:v>
                </c:pt>
                <c:pt idx="36">
                  <c:v>19.720399999999977</c:v>
                </c:pt>
                <c:pt idx="37">
                  <c:v>6.5899000000000001</c:v>
                </c:pt>
                <c:pt idx="38">
                  <c:v>8.7024000000000008</c:v>
                </c:pt>
                <c:pt idx="39">
                  <c:v>22.877400000000005</c:v>
                </c:pt>
                <c:pt idx="40">
                  <c:v>15.463800000000004</c:v>
                </c:pt>
                <c:pt idx="41">
                  <c:v>13.8581</c:v>
                </c:pt>
                <c:pt idx="42">
                  <c:v>12.434299999999999</c:v>
                </c:pt>
                <c:pt idx="43">
                  <c:v>18.667200000000001</c:v>
                </c:pt>
                <c:pt idx="44">
                  <c:v>12.165100000000002</c:v>
                </c:pt>
                <c:pt idx="45">
                  <c:v>16.344100000000001</c:v>
                </c:pt>
                <c:pt idx="46">
                  <c:v>9.938600000000001</c:v>
                </c:pt>
                <c:pt idx="47">
                  <c:v>0.70700000000000052</c:v>
                </c:pt>
              </c:numCache>
            </c:numRef>
          </c:val>
        </c:ser>
        <c:marker val="1"/>
        <c:axId val="233926656"/>
        <c:axId val="233908480"/>
      </c:lineChart>
      <c:dateAx>
        <c:axId val="233901056"/>
        <c:scaling>
          <c:orientation val="minMax"/>
        </c:scaling>
        <c:axPos val="b"/>
        <c:numFmt formatCode="yyyy\-mm;@" sourceLinked="1"/>
        <c:tickLblPos val="nextTo"/>
        <c:txPr>
          <a:bodyPr/>
          <a:lstStyle/>
          <a:p>
            <a:pPr>
              <a:defRPr sz="800"/>
            </a:pPr>
            <a:endParaRPr lang="zh-CN"/>
          </a:p>
        </c:txPr>
        <c:crossAx val="233906944"/>
        <c:crosses val="autoZero"/>
        <c:auto val="1"/>
        <c:lblOffset val="100"/>
      </c:dateAx>
      <c:valAx>
        <c:axId val="233906944"/>
        <c:scaling>
          <c:orientation val="minMax"/>
        </c:scaling>
        <c:axPos val="l"/>
        <c:majorGridlines/>
        <c:numFmt formatCode="General" sourceLinked="0"/>
        <c:tickLblPos val="nextTo"/>
        <c:txPr>
          <a:bodyPr/>
          <a:lstStyle/>
          <a:p>
            <a:pPr>
              <a:defRPr sz="800"/>
            </a:pPr>
            <a:endParaRPr lang="zh-CN"/>
          </a:p>
        </c:txPr>
        <c:crossAx val="233901056"/>
        <c:crosses val="autoZero"/>
        <c:crossBetween val="between"/>
      </c:valAx>
      <c:valAx>
        <c:axId val="233908480"/>
        <c:scaling>
          <c:orientation val="minMax"/>
        </c:scaling>
        <c:axPos val="r"/>
        <c:numFmt formatCode="General" sourceLinked="0"/>
        <c:tickLblPos val="nextTo"/>
        <c:txPr>
          <a:bodyPr/>
          <a:lstStyle/>
          <a:p>
            <a:pPr>
              <a:defRPr sz="800"/>
            </a:pPr>
            <a:endParaRPr lang="zh-CN"/>
          </a:p>
        </c:txPr>
        <c:crossAx val="233926656"/>
        <c:crosses val="max"/>
        <c:crossBetween val="between"/>
      </c:valAx>
      <c:dateAx>
        <c:axId val="233926656"/>
        <c:scaling>
          <c:orientation val="minMax"/>
        </c:scaling>
        <c:delete val="1"/>
        <c:axPos val="b"/>
        <c:numFmt formatCode="yyyy\-mm;@" sourceLinked="1"/>
        <c:tickLblPos val="none"/>
        <c:crossAx val="233908480"/>
        <c:crosses val="autoZero"/>
        <c:auto val="1"/>
        <c:lblOffset val="100"/>
      </c:dateAx>
    </c:plotArea>
    <c:legend>
      <c:legendPos val="t"/>
      <c:layout>
        <c:manualLayout>
          <c:xMode val="edge"/>
          <c:yMode val="edge"/>
          <c:x val="9.7542431610910113E-2"/>
          <c:y val="0"/>
          <c:w val="0.7982118796868436"/>
          <c:h val="0.10362775276811495"/>
        </c:manualLayout>
      </c:layout>
      <c:txPr>
        <a:bodyPr/>
        <a:lstStyle/>
        <a:p>
          <a:pPr>
            <a:defRPr sz="800"/>
          </a:pPr>
          <a:endParaRPr lang="zh-CN"/>
        </a:p>
      </c:txPr>
    </c:legend>
    <c:plotVisOnly val="1"/>
    <c:dispBlanksAs val="gap"/>
  </c:chart>
  <c:spPr>
    <a:ln>
      <a:noFill/>
    </a:ln>
  </c:sp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0488429571303592"/>
          <c:y val="0.17071813939924482"/>
          <c:w val="0.80580074365704291"/>
          <c:h val="0.63308034412365122"/>
        </c:manualLayout>
      </c:layout>
      <c:barChart>
        <c:barDir val="col"/>
        <c:grouping val="clustered"/>
        <c:ser>
          <c:idx val="0"/>
          <c:order val="0"/>
          <c:tx>
            <c:strRef>
              <c:f>铅下游!$J$2</c:f>
              <c:strCache>
                <c:ptCount val="1"/>
                <c:pt idx="0">
                  <c:v>产量:移动通信基站设备:当月值</c:v>
                </c:pt>
              </c:strCache>
            </c:strRef>
          </c:tx>
          <c:cat>
            <c:numRef>
              <c:f>铅下游!$G$5:$G$35</c:f>
              <c:numCache>
                <c:formatCode>yyyy\-mm;@</c:formatCode>
                <c:ptCount val="31"/>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40939</c:v>
                </c:pt>
                <c:pt idx="26">
                  <c:v>40908</c:v>
                </c:pt>
                <c:pt idx="27">
                  <c:v>40877</c:v>
                </c:pt>
                <c:pt idx="28">
                  <c:v>40847</c:v>
                </c:pt>
                <c:pt idx="29">
                  <c:v>40816</c:v>
                </c:pt>
                <c:pt idx="30">
                  <c:v>40786</c:v>
                </c:pt>
              </c:numCache>
            </c:numRef>
          </c:cat>
          <c:val>
            <c:numRef>
              <c:f>铅下游!$J$5:$J$35</c:f>
              <c:numCache>
                <c:formatCode>###,###,###,###,##0.00</c:formatCode>
                <c:ptCount val="31"/>
                <c:pt idx="0">
                  <c:v>2255.8618999999999</c:v>
                </c:pt>
                <c:pt idx="1">
                  <c:v>2884.1</c:v>
                </c:pt>
                <c:pt idx="2">
                  <c:v>0</c:v>
                </c:pt>
                <c:pt idx="3">
                  <c:v>2390.4119000000023</c:v>
                </c:pt>
                <c:pt idx="4">
                  <c:v>1240.0435</c:v>
                </c:pt>
                <c:pt idx="5">
                  <c:v>1213.0823999999998</c:v>
                </c:pt>
                <c:pt idx="6">
                  <c:v>1193.1070999999999</c:v>
                </c:pt>
                <c:pt idx="7">
                  <c:v>1224.0184999999999</c:v>
                </c:pt>
                <c:pt idx="8">
                  <c:v>1197.5876000000001</c:v>
                </c:pt>
                <c:pt idx="9">
                  <c:v>1415.7304999999999</c:v>
                </c:pt>
                <c:pt idx="10">
                  <c:v>929.08029999999997</c:v>
                </c:pt>
                <c:pt idx="11">
                  <c:v>867.2</c:v>
                </c:pt>
                <c:pt idx="12">
                  <c:v>893.9</c:v>
                </c:pt>
                <c:pt idx="13">
                  <c:v>0</c:v>
                </c:pt>
                <c:pt idx="14">
                  <c:v>1465.8</c:v>
                </c:pt>
                <c:pt idx="15">
                  <c:v>954.7</c:v>
                </c:pt>
                <c:pt idx="16">
                  <c:v>739.3</c:v>
                </c:pt>
                <c:pt idx="17">
                  <c:v>750.1</c:v>
                </c:pt>
                <c:pt idx="18">
                  <c:v>781.7</c:v>
                </c:pt>
                <c:pt idx="19">
                  <c:v>932.5</c:v>
                </c:pt>
                <c:pt idx="20">
                  <c:v>1317.7</c:v>
                </c:pt>
                <c:pt idx="21">
                  <c:v>1096.9000000000001</c:v>
                </c:pt>
                <c:pt idx="22">
                  <c:v>786.1</c:v>
                </c:pt>
                <c:pt idx="23">
                  <c:v>1043.0999999999999</c:v>
                </c:pt>
                <c:pt idx="24">
                  <c:v>727.28310000000056</c:v>
                </c:pt>
                <c:pt idx="25">
                  <c:v>553.60230000000001</c:v>
                </c:pt>
                <c:pt idx="26">
                  <c:v>691.9</c:v>
                </c:pt>
                <c:pt idx="27">
                  <c:v>552.29999999999995</c:v>
                </c:pt>
                <c:pt idx="28">
                  <c:v>456.4</c:v>
                </c:pt>
                <c:pt idx="29">
                  <c:v>438.7</c:v>
                </c:pt>
                <c:pt idx="30">
                  <c:v>604.79999999999995</c:v>
                </c:pt>
              </c:numCache>
            </c:numRef>
          </c:val>
        </c:ser>
        <c:axId val="233944192"/>
        <c:axId val="233945728"/>
      </c:barChart>
      <c:lineChart>
        <c:grouping val="standard"/>
        <c:ser>
          <c:idx val="1"/>
          <c:order val="1"/>
          <c:tx>
            <c:strRef>
              <c:f>铅下游!$K$2</c:f>
              <c:strCache>
                <c:ptCount val="1"/>
                <c:pt idx="0">
                  <c:v>产量:移动通信基站设备:当月同比</c:v>
                </c:pt>
              </c:strCache>
            </c:strRef>
          </c:tx>
          <c:marker>
            <c:symbol val="none"/>
          </c:marker>
          <c:cat>
            <c:numRef>
              <c:f>铅下游!$G$5:$G$35</c:f>
              <c:numCache>
                <c:formatCode>yyyy\-mm;@</c:formatCode>
                <c:ptCount val="31"/>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41274</c:v>
                </c:pt>
                <c:pt idx="15">
                  <c:v>41243</c:v>
                </c:pt>
                <c:pt idx="16">
                  <c:v>41213</c:v>
                </c:pt>
                <c:pt idx="17">
                  <c:v>41182</c:v>
                </c:pt>
                <c:pt idx="18">
                  <c:v>41152</c:v>
                </c:pt>
                <c:pt idx="19">
                  <c:v>41121</c:v>
                </c:pt>
                <c:pt idx="20">
                  <c:v>41090</c:v>
                </c:pt>
                <c:pt idx="21">
                  <c:v>41060</c:v>
                </c:pt>
                <c:pt idx="22">
                  <c:v>41029</c:v>
                </c:pt>
                <c:pt idx="23">
                  <c:v>40999</c:v>
                </c:pt>
                <c:pt idx="24">
                  <c:v>40968</c:v>
                </c:pt>
                <c:pt idx="25">
                  <c:v>40939</c:v>
                </c:pt>
                <c:pt idx="26">
                  <c:v>40908</c:v>
                </c:pt>
                <c:pt idx="27">
                  <c:v>40877</c:v>
                </c:pt>
                <c:pt idx="28">
                  <c:v>40847</c:v>
                </c:pt>
                <c:pt idx="29">
                  <c:v>40816</c:v>
                </c:pt>
                <c:pt idx="30">
                  <c:v>40786</c:v>
                </c:pt>
              </c:numCache>
            </c:numRef>
          </c:cat>
          <c:val>
            <c:numRef>
              <c:f>铅下游!$K$5:$K$35</c:f>
              <c:numCache>
                <c:formatCode>###,###,###,###,##0.00</c:formatCode>
                <c:ptCount val="31"/>
                <c:pt idx="0">
                  <c:v>151.27089999999998</c:v>
                </c:pt>
                <c:pt idx="1">
                  <c:v>216.3</c:v>
                </c:pt>
                <c:pt idx="2">
                  <c:v>0</c:v>
                </c:pt>
                <c:pt idx="3">
                  <c:v>63.365400000000001</c:v>
                </c:pt>
                <c:pt idx="4">
                  <c:v>30.265399999999971</c:v>
                </c:pt>
                <c:pt idx="5">
                  <c:v>64.325099999999978</c:v>
                </c:pt>
                <c:pt idx="6">
                  <c:v>59.423300000000012</c:v>
                </c:pt>
                <c:pt idx="7">
                  <c:v>57.063400000000001</c:v>
                </c:pt>
                <c:pt idx="8">
                  <c:v>28.829000000000001</c:v>
                </c:pt>
                <c:pt idx="9">
                  <c:v>10.7666</c:v>
                </c:pt>
                <c:pt idx="10">
                  <c:v>-12.578900000000001</c:v>
                </c:pt>
                <c:pt idx="11">
                  <c:v>14.8</c:v>
                </c:pt>
                <c:pt idx="12">
                  <c:v>-14.3</c:v>
                </c:pt>
                <c:pt idx="13">
                  <c:v>0</c:v>
                </c:pt>
                <c:pt idx="14">
                  <c:v>79.5</c:v>
                </c:pt>
                <c:pt idx="15">
                  <c:v>39.700000000000003</c:v>
                </c:pt>
                <c:pt idx="16">
                  <c:v>27.8</c:v>
                </c:pt>
                <c:pt idx="17">
                  <c:v>12.6</c:v>
                </c:pt>
                <c:pt idx="18">
                  <c:v>14.7</c:v>
                </c:pt>
                <c:pt idx="19">
                  <c:v>29.8</c:v>
                </c:pt>
                <c:pt idx="20">
                  <c:v>-3.3</c:v>
                </c:pt>
                <c:pt idx="21">
                  <c:v>10.200000000000001</c:v>
                </c:pt>
                <c:pt idx="22">
                  <c:v>12.7</c:v>
                </c:pt>
                <c:pt idx="23">
                  <c:v>78.400000000000006</c:v>
                </c:pt>
                <c:pt idx="24">
                  <c:v>61.513400000000004</c:v>
                </c:pt>
                <c:pt idx="25">
                  <c:v>17.325599999999977</c:v>
                </c:pt>
                <c:pt idx="26">
                  <c:v>-25.7</c:v>
                </c:pt>
                <c:pt idx="27">
                  <c:v>-17.2</c:v>
                </c:pt>
                <c:pt idx="28">
                  <c:v>-41.5</c:v>
                </c:pt>
                <c:pt idx="29">
                  <c:v>-39.9</c:v>
                </c:pt>
                <c:pt idx="30">
                  <c:v>0.2</c:v>
                </c:pt>
              </c:numCache>
            </c:numRef>
          </c:val>
        </c:ser>
        <c:marker val="1"/>
        <c:axId val="233953152"/>
        <c:axId val="233951616"/>
      </c:lineChart>
      <c:dateAx>
        <c:axId val="233944192"/>
        <c:scaling>
          <c:orientation val="minMax"/>
        </c:scaling>
        <c:axPos val="b"/>
        <c:numFmt formatCode="yyyy\-mm;@" sourceLinked="1"/>
        <c:tickLblPos val="nextTo"/>
        <c:txPr>
          <a:bodyPr/>
          <a:lstStyle/>
          <a:p>
            <a:pPr>
              <a:defRPr sz="800" baseline="0"/>
            </a:pPr>
            <a:endParaRPr lang="zh-CN"/>
          </a:p>
        </c:txPr>
        <c:crossAx val="233945728"/>
        <c:crosses val="autoZero"/>
        <c:auto val="1"/>
        <c:lblOffset val="100"/>
      </c:dateAx>
      <c:valAx>
        <c:axId val="233945728"/>
        <c:scaling>
          <c:orientation val="minMax"/>
        </c:scaling>
        <c:axPos val="l"/>
        <c:majorGridlines/>
        <c:numFmt formatCode="General" sourceLinked="0"/>
        <c:tickLblPos val="nextTo"/>
        <c:txPr>
          <a:bodyPr/>
          <a:lstStyle/>
          <a:p>
            <a:pPr>
              <a:defRPr sz="800" baseline="0"/>
            </a:pPr>
            <a:endParaRPr lang="zh-CN"/>
          </a:p>
        </c:txPr>
        <c:crossAx val="233944192"/>
        <c:crosses val="autoZero"/>
        <c:crossBetween val="between"/>
      </c:valAx>
      <c:valAx>
        <c:axId val="233951616"/>
        <c:scaling>
          <c:orientation val="minMax"/>
        </c:scaling>
        <c:axPos val="r"/>
        <c:numFmt formatCode="General" sourceLinked="0"/>
        <c:tickLblPos val="nextTo"/>
        <c:txPr>
          <a:bodyPr/>
          <a:lstStyle/>
          <a:p>
            <a:pPr>
              <a:defRPr sz="800" baseline="0"/>
            </a:pPr>
            <a:endParaRPr lang="zh-CN"/>
          </a:p>
        </c:txPr>
        <c:crossAx val="233953152"/>
        <c:crosses val="max"/>
        <c:crossBetween val="between"/>
      </c:valAx>
      <c:dateAx>
        <c:axId val="233953152"/>
        <c:scaling>
          <c:orientation val="minMax"/>
        </c:scaling>
        <c:delete val="1"/>
        <c:axPos val="b"/>
        <c:numFmt formatCode="yyyy\-mm;@" sourceLinked="1"/>
        <c:tickLblPos val="none"/>
        <c:crossAx val="233951616"/>
        <c:crosses val="autoZero"/>
        <c:auto val="1"/>
        <c:lblOffset val="100"/>
      </c:dateAx>
    </c:plotArea>
    <c:legend>
      <c:legendPos val="t"/>
      <c:layout>
        <c:manualLayout>
          <c:xMode val="edge"/>
          <c:yMode val="edge"/>
          <c:x val="3.6111111111111212E-2"/>
          <c:y val="4.6296296296297014E-3"/>
          <c:w val="0.91388888888888964"/>
          <c:h val="0.12442184310294546"/>
        </c:manualLayout>
      </c:layout>
      <c:txPr>
        <a:bodyPr/>
        <a:lstStyle/>
        <a:p>
          <a:pPr>
            <a:defRPr sz="800"/>
          </a:pPr>
          <a:endParaRPr lang="zh-CN"/>
        </a:p>
      </c:txPr>
    </c:legend>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8095965023870622"/>
          <c:y val="0.14974614965582161"/>
          <c:w val="0.69067122877049913"/>
          <c:h val="0.66802159164066821"/>
        </c:manualLayout>
      </c:layout>
      <c:areaChart>
        <c:grouping val="stacked"/>
        <c:ser>
          <c:idx val="0"/>
          <c:order val="0"/>
          <c:tx>
            <c:strRef>
              <c:f>金属库存及仓单工作区!$U$2</c:f>
              <c:strCache>
                <c:ptCount val="1"/>
                <c:pt idx="0">
                  <c:v>伦敦锌库存</c:v>
                </c:pt>
              </c:strCache>
            </c:strRef>
          </c:tx>
          <c:cat>
            <c:numRef>
              <c:f>金属库存及仓单工作区!$K$4:$K$296</c:f>
              <c:numCache>
                <c:formatCode>yyyy/m/d</c:formatCode>
                <c:ptCount val="293"/>
                <c:pt idx="0">
                  <c:v>41795</c:v>
                </c:pt>
                <c:pt idx="1">
                  <c:v>41794</c:v>
                </c:pt>
                <c:pt idx="2">
                  <c:v>41793</c:v>
                </c:pt>
                <c:pt idx="3">
                  <c:v>41792</c:v>
                </c:pt>
                <c:pt idx="4">
                  <c:v>41791</c:v>
                </c:pt>
                <c:pt idx="5">
                  <c:v>41790</c:v>
                </c:pt>
                <c:pt idx="6">
                  <c:v>41789</c:v>
                </c:pt>
                <c:pt idx="7">
                  <c:v>41788</c:v>
                </c:pt>
                <c:pt idx="8">
                  <c:v>41787</c:v>
                </c:pt>
                <c:pt idx="9">
                  <c:v>41786</c:v>
                </c:pt>
                <c:pt idx="10">
                  <c:v>41785</c:v>
                </c:pt>
                <c:pt idx="11">
                  <c:v>41784</c:v>
                </c:pt>
                <c:pt idx="12">
                  <c:v>41783</c:v>
                </c:pt>
                <c:pt idx="13">
                  <c:v>41782</c:v>
                </c:pt>
                <c:pt idx="14">
                  <c:v>41781</c:v>
                </c:pt>
                <c:pt idx="15">
                  <c:v>41780</c:v>
                </c:pt>
                <c:pt idx="16">
                  <c:v>41779</c:v>
                </c:pt>
                <c:pt idx="17">
                  <c:v>41778</c:v>
                </c:pt>
                <c:pt idx="18">
                  <c:v>41777</c:v>
                </c:pt>
                <c:pt idx="19">
                  <c:v>41776</c:v>
                </c:pt>
                <c:pt idx="20">
                  <c:v>41775</c:v>
                </c:pt>
                <c:pt idx="21">
                  <c:v>41774</c:v>
                </c:pt>
                <c:pt idx="22">
                  <c:v>41773</c:v>
                </c:pt>
                <c:pt idx="23">
                  <c:v>41772</c:v>
                </c:pt>
                <c:pt idx="24">
                  <c:v>41771</c:v>
                </c:pt>
                <c:pt idx="25">
                  <c:v>41770</c:v>
                </c:pt>
                <c:pt idx="26">
                  <c:v>41769</c:v>
                </c:pt>
                <c:pt idx="27">
                  <c:v>41768</c:v>
                </c:pt>
                <c:pt idx="28">
                  <c:v>41767</c:v>
                </c:pt>
                <c:pt idx="29">
                  <c:v>41766</c:v>
                </c:pt>
                <c:pt idx="30">
                  <c:v>41765</c:v>
                </c:pt>
                <c:pt idx="31">
                  <c:v>41764</c:v>
                </c:pt>
                <c:pt idx="32">
                  <c:v>41763</c:v>
                </c:pt>
                <c:pt idx="33">
                  <c:v>41762</c:v>
                </c:pt>
                <c:pt idx="34">
                  <c:v>41761</c:v>
                </c:pt>
                <c:pt idx="35">
                  <c:v>41760</c:v>
                </c:pt>
                <c:pt idx="36">
                  <c:v>41759</c:v>
                </c:pt>
                <c:pt idx="37">
                  <c:v>41758</c:v>
                </c:pt>
                <c:pt idx="38">
                  <c:v>41757</c:v>
                </c:pt>
                <c:pt idx="39">
                  <c:v>41756</c:v>
                </c:pt>
                <c:pt idx="40">
                  <c:v>41755</c:v>
                </c:pt>
                <c:pt idx="41">
                  <c:v>41754</c:v>
                </c:pt>
                <c:pt idx="42">
                  <c:v>41753</c:v>
                </c:pt>
                <c:pt idx="43">
                  <c:v>41752</c:v>
                </c:pt>
                <c:pt idx="44">
                  <c:v>41751</c:v>
                </c:pt>
                <c:pt idx="45">
                  <c:v>41750</c:v>
                </c:pt>
                <c:pt idx="46">
                  <c:v>41749</c:v>
                </c:pt>
                <c:pt idx="47">
                  <c:v>41748</c:v>
                </c:pt>
                <c:pt idx="48">
                  <c:v>41747</c:v>
                </c:pt>
                <c:pt idx="49">
                  <c:v>41746</c:v>
                </c:pt>
                <c:pt idx="50">
                  <c:v>41745</c:v>
                </c:pt>
                <c:pt idx="51">
                  <c:v>41744</c:v>
                </c:pt>
                <c:pt idx="52">
                  <c:v>41743</c:v>
                </c:pt>
                <c:pt idx="53">
                  <c:v>41742</c:v>
                </c:pt>
                <c:pt idx="54">
                  <c:v>41741</c:v>
                </c:pt>
                <c:pt idx="55">
                  <c:v>41740</c:v>
                </c:pt>
                <c:pt idx="56">
                  <c:v>41739</c:v>
                </c:pt>
                <c:pt idx="57">
                  <c:v>41738</c:v>
                </c:pt>
                <c:pt idx="58">
                  <c:v>41737</c:v>
                </c:pt>
                <c:pt idx="59">
                  <c:v>41736</c:v>
                </c:pt>
                <c:pt idx="60">
                  <c:v>41735</c:v>
                </c:pt>
                <c:pt idx="61">
                  <c:v>41734</c:v>
                </c:pt>
                <c:pt idx="62">
                  <c:v>41733</c:v>
                </c:pt>
                <c:pt idx="63">
                  <c:v>41732</c:v>
                </c:pt>
                <c:pt idx="64">
                  <c:v>41731</c:v>
                </c:pt>
                <c:pt idx="65">
                  <c:v>41730</c:v>
                </c:pt>
                <c:pt idx="66">
                  <c:v>41729</c:v>
                </c:pt>
                <c:pt idx="67">
                  <c:v>41728</c:v>
                </c:pt>
                <c:pt idx="68">
                  <c:v>41727</c:v>
                </c:pt>
                <c:pt idx="69">
                  <c:v>41726</c:v>
                </c:pt>
                <c:pt idx="70">
                  <c:v>41725</c:v>
                </c:pt>
                <c:pt idx="71">
                  <c:v>41724</c:v>
                </c:pt>
                <c:pt idx="72">
                  <c:v>41723</c:v>
                </c:pt>
                <c:pt idx="73">
                  <c:v>41722</c:v>
                </c:pt>
                <c:pt idx="74">
                  <c:v>41721</c:v>
                </c:pt>
                <c:pt idx="75">
                  <c:v>41720</c:v>
                </c:pt>
                <c:pt idx="76">
                  <c:v>41719</c:v>
                </c:pt>
                <c:pt idx="77">
                  <c:v>41718</c:v>
                </c:pt>
                <c:pt idx="78">
                  <c:v>41717</c:v>
                </c:pt>
                <c:pt idx="79">
                  <c:v>41716</c:v>
                </c:pt>
                <c:pt idx="80">
                  <c:v>41715</c:v>
                </c:pt>
                <c:pt idx="81">
                  <c:v>41714</c:v>
                </c:pt>
                <c:pt idx="82">
                  <c:v>41713</c:v>
                </c:pt>
                <c:pt idx="83">
                  <c:v>41712</c:v>
                </c:pt>
                <c:pt idx="84">
                  <c:v>41711</c:v>
                </c:pt>
                <c:pt idx="85">
                  <c:v>41710</c:v>
                </c:pt>
                <c:pt idx="86">
                  <c:v>41709</c:v>
                </c:pt>
                <c:pt idx="87">
                  <c:v>41708</c:v>
                </c:pt>
                <c:pt idx="88">
                  <c:v>41707</c:v>
                </c:pt>
                <c:pt idx="89">
                  <c:v>41706</c:v>
                </c:pt>
                <c:pt idx="90">
                  <c:v>41705</c:v>
                </c:pt>
                <c:pt idx="91">
                  <c:v>41704</c:v>
                </c:pt>
                <c:pt idx="92">
                  <c:v>41703</c:v>
                </c:pt>
                <c:pt idx="93">
                  <c:v>41702</c:v>
                </c:pt>
                <c:pt idx="94">
                  <c:v>41701</c:v>
                </c:pt>
                <c:pt idx="95">
                  <c:v>41700</c:v>
                </c:pt>
                <c:pt idx="96">
                  <c:v>41699</c:v>
                </c:pt>
                <c:pt idx="97">
                  <c:v>41698</c:v>
                </c:pt>
                <c:pt idx="98">
                  <c:v>41697</c:v>
                </c:pt>
                <c:pt idx="99">
                  <c:v>41696</c:v>
                </c:pt>
                <c:pt idx="100">
                  <c:v>41695</c:v>
                </c:pt>
                <c:pt idx="101">
                  <c:v>41694</c:v>
                </c:pt>
                <c:pt idx="102">
                  <c:v>41693</c:v>
                </c:pt>
                <c:pt idx="103">
                  <c:v>41692</c:v>
                </c:pt>
                <c:pt idx="104">
                  <c:v>41691</c:v>
                </c:pt>
                <c:pt idx="105">
                  <c:v>41690</c:v>
                </c:pt>
                <c:pt idx="106">
                  <c:v>41689</c:v>
                </c:pt>
                <c:pt idx="107">
                  <c:v>41688</c:v>
                </c:pt>
                <c:pt idx="108">
                  <c:v>41687</c:v>
                </c:pt>
                <c:pt idx="109">
                  <c:v>41686</c:v>
                </c:pt>
                <c:pt idx="110">
                  <c:v>41685</c:v>
                </c:pt>
                <c:pt idx="111">
                  <c:v>41684</c:v>
                </c:pt>
                <c:pt idx="112">
                  <c:v>41683</c:v>
                </c:pt>
                <c:pt idx="113">
                  <c:v>41682</c:v>
                </c:pt>
                <c:pt idx="114">
                  <c:v>41681</c:v>
                </c:pt>
                <c:pt idx="115">
                  <c:v>41680</c:v>
                </c:pt>
                <c:pt idx="116">
                  <c:v>41679</c:v>
                </c:pt>
                <c:pt idx="117">
                  <c:v>41678</c:v>
                </c:pt>
                <c:pt idx="118">
                  <c:v>41677</c:v>
                </c:pt>
                <c:pt idx="119">
                  <c:v>41676</c:v>
                </c:pt>
                <c:pt idx="120">
                  <c:v>41675</c:v>
                </c:pt>
                <c:pt idx="121">
                  <c:v>41674</c:v>
                </c:pt>
                <c:pt idx="122">
                  <c:v>41673</c:v>
                </c:pt>
                <c:pt idx="123">
                  <c:v>41672</c:v>
                </c:pt>
                <c:pt idx="124">
                  <c:v>41671</c:v>
                </c:pt>
                <c:pt idx="125">
                  <c:v>41670</c:v>
                </c:pt>
                <c:pt idx="126">
                  <c:v>41669</c:v>
                </c:pt>
                <c:pt idx="127">
                  <c:v>41668</c:v>
                </c:pt>
                <c:pt idx="128">
                  <c:v>41667</c:v>
                </c:pt>
                <c:pt idx="129">
                  <c:v>41666</c:v>
                </c:pt>
                <c:pt idx="130">
                  <c:v>41665</c:v>
                </c:pt>
                <c:pt idx="131">
                  <c:v>41664</c:v>
                </c:pt>
                <c:pt idx="132">
                  <c:v>41663</c:v>
                </c:pt>
                <c:pt idx="133">
                  <c:v>41662</c:v>
                </c:pt>
                <c:pt idx="134">
                  <c:v>41661</c:v>
                </c:pt>
                <c:pt idx="135">
                  <c:v>41660</c:v>
                </c:pt>
                <c:pt idx="136">
                  <c:v>41659</c:v>
                </c:pt>
                <c:pt idx="137">
                  <c:v>41658</c:v>
                </c:pt>
                <c:pt idx="138">
                  <c:v>41657</c:v>
                </c:pt>
                <c:pt idx="139">
                  <c:v>41656</c:v>
                </c:pt>
                <c:pt idx="140">
                  <c:v>41655</c:v>
                </c:pt>
                <c:pt idx="141">
                  <c:v>41654</c:v>
                </c:pt>
                <c:pt idx="142">
                  <c:v>41653</c:v>
                </c:pt>
                <c:pt idx="143">
                  <c:v>41652</c:v>
                </c:pt>
                <c:pt idx="144">
                  <c:v>41651</c:v>
                </c:pt>
                <c:pt idx="145">
                  <c:v>41650</c:v>
                </c:pt>
                <c:pt idx="146">
                  <c:v>41649</c:v>
                </c:pt>
                <c:pt idx="147">
                  <c:v>41648</c:v>
                </c:pt>
                <c:pt idx="148">
                  <c:v>41647</c:v>
                </c:pt>
                <c:pt idx="149">
                  <c:v>41646</c:v>
                </c:pt>
                <c:pt idx="150">
                  <c:v>41645</c:v>
                </c:pt>
                <c:pt idx="151">
                  <c:v>41644</c:v>
                </c:pt>
                <c:pt idx="152">
                  <c:v>41643</c:v>
                </c:pt>
                <c:pt idx="153">
                  <c:v>41642</c:v>
                </c:pt>
                <c:pt idx="154">
                  <c:v>41641</c:v>
                </c:pt>
                <c:pt idx="155">
                  <c:v>41640</c:v>
                </c:pt>
                <c:pt idx="156">
                  <c:v>41639</c:v>
                </c:pt>
                <c:pt idx="157">
                  <c:v>41638</c:v>
                </c:pt>
                <c:pt idx="158">
                  <c:v>41637</c:v>
                </c:pt>
                <c:pt idx="159">
                  <c:v>41636</c:v>
                </c:pt>
                <c:pt idx="160">
                  <c:v>41635</c:v>
                </c:pt>
                <c:pt idx="161">
                  <c:v>41634</c:v>
                </c:pt>
                <c:pt idx="162">
                  <c:v>41633</c:v>
                </c:pt>
                <c:pt idx="163">
                  <c:v>41632</c:v>
                </c:pt>
                <c:pt idx="164">
                  <c:v>41631</c:v>
                </c:pt>
                <c:pt idx="165">
                  <c:v>41630</c:v>
                </c:pt>
                <c:pt idx="166">
                  <c:v>41629</c:v>
                </c:pt>
                <c:pt idx="167">
                  <c:v>41628</c:v>
                </c:pt>
                <c:pt idx="168">
                  <c:v>41627</c:v>
                </c:pt>
                <c:pt idx="169">
                  <c:v>41626</c:v>
                </c:pt>
                <c:pt idx="170">
                  <c:v>41625</c:v>
                </c:pt>
                <c:pt idx="171">
                  <c:v>41624</c:v>
                </c:pt>
                <c:pt idx="172">
                  <c:v>41623</c:v>
                </c:pt>
                <c:pt idx="173">
                  <c:v>41622</c:v>
                </c:pt>
                <c:pt idx="174">
                  <c:v>41621</c:v>
                </c:pt>
                <c:pt idx="175">
                  <c:v>41620</c:v>
                </c:pt>
                <c:pt idx="176">
                  <c:v>41619</c:v>
                </c:pt>
                <c:pt idx="177">
                  <c:v>41618</c:v>
                </c:pt>
                <c:pt idx="178">
                  <c:v>41617</c:v>
                </c:pt>
                <c:pt idx="179">
                  <c:v>41616</c:v>
                </c:pt>
                <c:pt idx="180">
                  <c:v>41615</c:v>
                </c:pt>
                <c:pt idx="181">
                  <c:v>41614</c:v>
                </c:pt>
                <c:pt idx="182">
                  <c:v>41613</c:v>
                </c:pt>
                <c:pt idx="183">
                  <c:v>41612</c:v>
                </c:pt>
                <c:pt idx="184">
                  <c:v>41611</c:v>
                </c:pt>
                <c:pt idx="185">
                  <c:v>41610</c:v>
                </c:pt>
                <c:pt idx="186">
                  <c:v>41609</c:v>
                </c:pt>
                <c:pt idx="187">
                  <c:v>41608</c:v>
                </c:pt>
                <c:pt idx="188">
                  <c:v>41607</c:v>
                </c:pt>
                <c:pt idx="189">
                  <c:v>41606</c:v>
                </c:pt>
                <c:pt idx="190">
                  <c:v>41605</c:v>
                </c:pt>
                <c:pt idx="191">
                  <c:v>41604</c:v>
                </c:pt>
                <c:pt idx="192">
                  <c:v>41603</c:v>
                </c:pt>
                <c:pt idx="193">
                  <c:v>41602</c:v>
                </c:pt>
                <c:pt idx="194">
                  <c:v>41601</c:v>
                </c:pt>
                <c:pt idx="195">
                  <c:v>41600</c:v>
                </c:pt>
                <c:pt idx="196">
                  <c:v>41599</c:v>
                </c:pt>
                <c:pt idx="197">
                  <c:v>41598</c:v>
                </c:pt>
                <c:pt idx="198">
                  <c:v>41597</c:v>
                </c:pt>
                <c:pt idx="199">
                  <c:v>41596</c:v>
                </c:pt>
                <c:pt idx="200">
                  <c:v>41595</c:v>
                </c:pt>
                <c:pt idx="201">
                  <c:v>41594</c:v>
                </c:pt>
                <c:pt idx="202">
                  <c:v>41593</c:v>
                </c:pt>
                <c:pt idx="203">
                  <c:v>41592</c:v>
                </c:pt>
                <c:pt idx="204">
                  <c:v>41591</c:v>
                </c:pt>
                <c:pt idx="205">
                  <c:v>41590</c:v>
                </c:pt>
                <c:pt idx="206">
                  <c:v>41589</c:v>
                </c:pt>
                <c:pt idx="207">
                  <c:v>41588</c:v>
                </c:pt>
                <c:pt idx="208">
                  <c:v>41587</c:v>
                </c:pt>
                <c:pt idx="209">
                  <c:v>41586</c:v>
                </c:pt>
                <c:pt idx="210">
                  <c:v>41585</c:v>
                </c:pt>
                <c:pt idx="211">
                  <c:v>41584</c:v>
                </c:pt>
                <c:pt idx="212">
                  <c:v>41583</c:v>
                </c:pt>
                <c:pt idx="213">
                  <c:v>41582</c:v>
                </c:pt>
                <c:pt idx="214">
                  <c:v>41581</c:v>
                </c:pt>
                <c:pt idx="215">
                  <c:v>41580</c:v>
                </c:pt>
                <c:pt idx="216">
                  <c:v>41579</c:v>
                </c:pt>
                <c:pt idx="217">
                  <c:v>41578</c:v>
                </c:pt>
                <c:pt idx="218">
                  <c:v>41577</c:v>
                </c:pt>
                <c:pt idx="219">
                  <c:v>41576</c:v>
                </c:pt>
                <c:pt idx="220">
                  <c:v>41575</c:v>
                </c:pt>
                <c:pt idx="221">
                  <c:v>41574</c:v>
                </c:pt>
                <c:pt idx="222">
                  <c:v>41573</c:v>
                </c:pt>
                <c:pt idx="223">
                  <c:v>41572</c:v>
                </c:pt>
                <c:pt idx="224">
                  <c:v>41571</c:v>
                </c:pt>
                <c:pt idx="225">
                  <c:v>41570</c:v>
                </c:pt>
                <c:pt idx="226">
                  <c:v>41569</c:v>
                </c:pt>
                <c:pt idx="227">
                  <c:v>41568</c:v>
                </c:pt>
                <c:pt idx="228">
                  <c:v>41567</c:v>
                </c:pt>
                <c:pt idx="229">
                  <c:v>41566</c:v>
                </c:pt>
                <c:pt idx="230">
                  <c:v>41565</c:v>
                </c:pt>
                <c:pt idx="231">
                  <c:v>41564</c:v>
                </c:pt>
                <c:pt idx="232">
                  <c:v>41563</c:v>
                </c:pt>
                <c:pt idx="233">
                  <c:v>41562</c:v>
                </c:pt>
                <c:pt idx="234">
                  <c:v>41561</c:v>
                </c:pt>
                <c:pt idx="235">
                  <c:v>41560</c:v>
                </c:pt>
                <c:pt idx="236">
                  <c:v>41559</c:v>
                </c:pt>
                <c:pt idx="237">
                  <c:v>41558</c:v>
                </c:pt>
                <c:pt idx="238">
                  <c:v>41557</c:v>
                </c:pt>
                <c:pt idx="239">
                  <c:v>41556</c:v>
                </c:pt>
                <c:pt idx="240">
                  <c:v>41555</c:v>
                </c:pt>
                <c:pt idx="241">
                  <c:v>41554</c:v>
                </c:pt>
                <c:pt idx="242">
                  <c:v>41553</c:v>
                </c:pt>
                <c:pt idx="243">
                  <c:v>41552</c:v>
                </c:pt>
                <c:pt idx="244">
                  <c:v>41551</c:v>
                </c:pt>
                <c:pt idx="245">
                  <c:v>41550</c:v>
                </c:pt>
                <c:pt idx="246">
                  <c:v>41549</c:v>
                </c:pt>
                <c:pt idx="247">
                  <c:v>41548</c:v>
                </c:pt>
                <c:pt idx="248">
                  <c:v>41547</c:v>
                </c:pt>
                <c:pt idx="249">
                  <c:v>41546</c:v>
                </c:pt>
                <c:pt idx="250">
                  <c:v>41545</c:v>
                </c:pt>
                <c:pt idx="251">
                  <c:v>41544</c:v>
                </c:pt>
                <c:pt idx="252">
                  <c:v>41543</c:v>
                </c:pt>
                <c:pt idx="253">
                  <c:v>41542</c:v>
                </c:pt>
                <c:pt idx="254">
                  <c:v>41541</c:v>
                </c:pt>
                <c:pt idx="255">
                  <c:v>41540</c:v>
                </c:pt>
                <c:pt idx="256">
                  <c:v>41539</c:v>
                </c:pt>
                <c:pt idx="257">
                  <c:v>41538</c:v>
                </c:pt>
                <c:pt idx="258">
                  <c:v>41537</c:v>
                </c:pt>
                <c:pt idx="259">
                  <c:v>41536</c:v>
                </c:pt>
                <c:pt idx="260">
                  <c:v>41535</c:v>
                </c:pt>
                <c:pt idx="261">
                  <c:v>41534</c:v>
                </c:pt>
                <c:pt idx="262">
                  <c:v>41533</c:v>
                </c:pt>
                <c:pt idx="263">
                  <c:v>41532</c:v>
                </c:pt>
                <c:pt idx="264">
                  <c:v>41531</c:v>
                </c:pt>
                <c:pt idx="265">
                  <c:v>41530</c:v>
                </c:pt>
                <c:pt idx="266">
                  <c:v>41529</c:v>
                </c:pt>
                <c:pt idx="267">
                  <c:v>41528</c:v>
                </c:pt>
                <c:pt idx="268">
                  <c:v>41527</c:v>
                </c:pt>
                <c:pt idx="269">
                  <c:v>41526</c:v>
                </c:pt>
                <c:pt idx="270">
                  <c:v>41525</c:v>
                </c:pt>
                <c:pt idx="271">
                  <c:v>41524</c:v>
                </c:pt>
                <c:pt idx="272">
                  <c:v>41523</c:v>
                </c:pt>
                <c:pt idx="273">
                  <c:v>41522</c:v>
                </c:pt>
                <c:pt idx="274">
                  <c:v>41521</c:v>
                </c:pt>
                <c:pt idx="275">
                  <c:v>41520</c:v>
                </c:pt>
                <c:pt idx="276">
                  <c:v>41519</c:v>
                </c:pt>
                <c:pt idx="277">
                  <c:v>41518</c:v>
                </c:pt>
                <c:pt idx="278">
                  <c:v>41517</c:v>
                </c:pt>
                <c:pt idx="279">
                  <c:v>41516</c:v>
                </c:pt>
                <c:pt idx="280">
                  <c:v>41515</c:v>
                </c:pt>
                <c:pt idx="281">
                  <c:v>41514</c:v>
                </c:pt>
                <c:pt idx="282">
                  <c:v>41513</c:v>
                </c:pt>
                <c:pt idx="283">
                  <c:v>41512</c:v>
                </c:pt>
                <c:pt idx="284">
                  <c:v>41511</c:v>
                </c:pt>
                <c:pt idx="285">
                  <c:v>41510</c:v>
                </c:pt>
                <c:pt idx="286">
                  <c:v>41509</c:v>
                </c:pt>
                <c:pt idx="287">
                  <c:v>41508</c:v>
                </c:pt>
                <c:pt idx="288">
                  <c:v>41507</c:v>
                </c:pt>
                <c:pt idx="289">
                  <c:v>41506</c:v>
                </c:pt>
                <c:pt idx="290">
                  <c:v>41505</c:v>
                </c:pt>
                <c:pt idx="291">
                  <c:v>41504</c:v>
                </c:pt>
                <c:pt idx="292">
                  <c:v>41503</c:v>
                </c:pt>
              </c:numCache>
            </c:numRef>
          </c:cat>
          <c:val>
            <c:numRef>
              <c:f>金属库存及仓单工作区!$U$4:$U$296</c:f>
              <c:numCache>
                <c:formatCode>0_);[Red]\(0\)</c:formatCode>
                <c:ptCount val="293"/>
                <c:pt idx="0">
                  <c:v>700375</c:v>
                </c:pt>
                <c:pt idx="1">
                  <c:v>703425</c:v>
                </c:pt>
                <c:pt idx="2">
                  <c:v>707075</c:v>
                </c:pt>
                <c:pt idx="3">
                  <c:v>708425</c:v>
                </c:pt>
                <c:pt idx="4">
                  <c:v>711900</c:v>
                </c:pt>
                <c:pt idx="5">
                  <c:v>711900</c:v>
                </c:pt>
                <c:pt idx="6">
                  <c:v>711900</c:v>
                </c:pt>
                <c:pt idx="7">
                  <c:v>719600</c:v>
                </c:pt>
                <c:pt idx="8">
                  <c:v>720675</c:v>
                </c:pt>
                <c:pt idx="9">
                  <c:v>724925</c:v>
                </c:pt>
                <c:pt idx="10">
                  <c:v>728425</c:v>
                </c:pt>
                <c:pt idx="11">
                  <c:v>728425</c:v>
                </c:pt>
                <c:pt idx="12">
                  <c:v>728425</c:v>
                </c:pt>
                <c:pt idx="13">
                  <c:v>728425</c:v>
                </c:pt>
                <c:pt idx="14">
                  <c:v>734350</c:v>
                </c:pt>
                <c:pt idx="15">
                  <c:v>739650</c:v>
                </c:pt>
                <c:pt idx="16">
                  <c:v>743450</c:v>
                </c:pt>
                <c:pt idx="17">
                  <c:v>750475</c:v>
                </c:pt>
                <c:pt idx="18">
                  <c:v>751650</c:v>
                </c:pt>
                <c:pt idx="19">
                  <c:v>751650</c:v>
                </c:pt>
                <c:pt idx="20">
                  <c:v>751650</c:v>
                </c:pt>
                <c:pt idx="21">
                  <c:v>753975</c:v>
                </c:pt>
                <c:pt idx="22">
                  <c:v>755325</c:v>
                </c:pt>
                <c:pt idx="23">
                  <c:v>757975</c:v>
                </c:pt>
                <c:pt idx="24">
                  <c:v>760125</c:v>
                </c:pt>
                <c:pt idx="25">
                  <c:v>761175</c:v>
                </c:pt>
                <c:pt idx="26">
                  <c:v>761175</c:v>
                </c:pt>
                <c:pt idx="27">
                  <c:v>761175</c:v>
                </c:pt>
                <c:pt idx="28">
                  <c:v>762500</c:v>
                </c:pt>
                <c:pt idx="29">
                  <c:v>763750</c:v>
                </c:pt>
                <c:pt idx="30">
                  <c:v>766250</c:v>
                </c:pt>
                <c:pt idx="31">
                  <c:v>767800</c:v>
                </c:pt>
                <c:pt idx="32">
                  <c:v>767800</c:v>
                </c:pt>
                <c:pt idx="33">
                  <c:v>767800</c:v>
                </c:pt>
                <c:pt idx="34">
                  <c:v>767800</c:v>
                </c:pt>
                <c:pt idx="35">
                  <c:v>771475</c:v>
                </c:pt>
                <c:pt idx="36">
                  <c:v>777000</c:v>
                </c:pt>
                <c:pt idx="37">
                  <c:v>780350</c:v>
                </c:pt>
                <c:pt idx="38">
                  <c:v>783550</c:v>
                </c:pt>
                <c:pt idx="39">
                  <c:v>786475</c:v>
                </c:pt>
                <c:pt idx="40">
                  <c:v>786475</c:v>
                </c:pt>
                <c:pt idx="41">
                  <c:v>786475</c:v>
                </c:pt>
                <c:pt idx="42">
                  <c:v>789575</c:v>
                </c:pt>
                <c:pt idx="43">
                  <c:v>792025</c:v>
                </c:pt>
                <c:pt idx="44">
                  <c:v>798400</c:v>
                </c:pt>
                <c:pt idx="45">
                  <c:v>801500</c:v>
                </c:pt>
                <c:pt idx="46">
                  <c:v>801500</c:v>
                </c:pt>
                <c:pt idx="47">
                  <c:v>801500</c:v>
                </c:pt>
                <c:pt idx="48">
                  <c:v>801500</c:v>
                </c:pt>
                <c:pt idx="49">
                  <c:v>801500</c:v>
                </c:pt>
                <c:pt idx="50">
                  <c:v>804650</c:v>
                </c:pt>
                <c:pt idx="51">
                  <c:v>807975</c:v>
                </c:pt>
                <c:pt idx="52">
                  <c:v>811225</c:v>
                </c:pt>
                <c:pt idx="53">
                  <c:v>814525</c:v>
                </c:pt>
                <c:pt idx="54">
                  <c:v>814525</c:v>
                </c:pt>
                <c:pt idx="55">
                  <c:v>814525</c:v>
                </c:pt>
                <c:pt idx="56">
                  <c:v>817900</c:v>
                </c:pt>
                <c:pt idx="57">
                  <c:v>821050</c:v>
                </c:pt>
                <c:pt idx="58">
                  <c:v>824325</c:v>
                </c:pt>
                <c:pt idx="59">
                  <c:v>827375</c:v>
                </c:pt>
                <c:pt idx="60">
                  <c:v>831700</c:v>
                </c:pt>
                <c:pt idx="61">
                  <c:v>831700</c:v>
                </c:pt>
                <c:pt idx="62">
                  <c:v>831700</c:v>
                </c:pt>
                <c:pt idx="63">
                  <c:v>834700</c:v>
                </c:pt>
                <c:pt idx="64">
                  <c:v>839075</c:v>
                </c:pt>
                <c:pt idx="65">
                  <c:v>833575</c:v>
                </c:pt>
                <c:pt idx="66">
                  <c:v>779600</c:v>
                </c:pt>
                <c:pt idx="67">
                  <c:v>777575</c:v>
                </c:pt>
                <c:pt idx="68">
                  <c:v>777575</c:v>
                </c:pt>
                <c:pt idx="69">
                  <c:v>777575</c:v>
                </c:pt>
                <c:pt idx="70">
                  <c:v>775825</c:v>
                </c:pt>
                <c:pt idx="71">
                  <c:v>774000</c:v>
                </c:pt>
                <c:pt idx="72">
                  <c:v>772450</c:v>
                </c:pt>
                <c:pt idx="73">
                  <c:v>776400</c:v>
                </c:pt>
                <c:pt idx="74">
                  <c:v>780075</c:v>
                </c:pt>
                <c:pt idx="75">
                  <c:v>780075</c:v>
                </c:pt>
                <c:pt idx="76">
                  <c:v>780075</c:v>
                </c:pt>
                <c:pt idx="77">
                  <c:v>785350</c:v>
                </c:pt>
                <c:pt idx="78">
                  <c:v>788900</c:v>
                </c:pt>
                <c:pt idx="79">
                  <c:v>790925</c:v>
                </c:pt>
                <c:pt idx="80">
                  <c:v>794400</c:v>
                </c:pt>
                <c:pt idx="81">
                  <c:v>797900</c:v>
                </c:pt>
                <c:pt idx="82">
                  <c:v>797900</c:v>
                </c:pt>
                <c:pt idx="83">
                  <c:v>797900</c:v>
                </c:pt>
                <c:pt idx="84">
                  <c:v>796700</c:v>
                </c:pt>
                <c:pt idx="85">
                  <c:v>800150</c:v>
                </c:pt>
                <c:pt idx="86">
                  <c:v>798825</c:v>
                </c:pt>
                <c:pt idx="87">
                  <c:v>792375</c:v>
                </c:pt>
                <c:pt idx="88">
                  <c:v>776000</c:v>
                </c:pt>
                <c:pt idx="89">
                  <c:v>776000</c:v>
                </c:pt>
                <c:pt idx="90">
                  <c:v>776000</c:v>
                </c:pt>
                <c:pt idx="91">
                  <c:v>760125</c:v>
                </c:pt>
                <c:pt idx="92">
                  <c:v>751975</c:v>
                </c:pt>
                <c:pt idx="93">
                  <c:v>753700</c:v>
                </c:pt>
                <c:pt idx="94">
                  <c:v>757950</c:v>
                </c:pt>
                <c:pt idx="95">
                  <c:v>761725</c:v>
                </c:pt>
                <c:pt idx="96">
                  <c:v>761725</c:v>
                </c:pt>
                <c:pt idx="97">
                  <c:v>761725</c:v>
                </c:pt>
                <c:pt idx="98">
                  <c:v>765850</c:v>
                </c:pt>
                <c:pt idx="99">
                  <c:v>769300</c:v>
                </c:pt>
                <c:pt idx="100">
                  <c:v>774250</c:v>
                </c:pt>
                <c:pt idx="101">
                  <c:v>779050</c:v>
                </c:pt>
                <c:pt idx="102">
                  <c:v>783900</c:v>
                </c:pt>
                <c:pt idx="103">
                  <c:v>783900</c:v>
                </c:pt>
                <c:pt idx="104">
                  <c:v>783900</c:v>
                </c:pt>
                <c:pt idx="105">
                  <c:v>788875</c:v>
                </c:pt>
                <c:pt idx="106">
                  <c:v>795050</c:v>
                </c:pt>
                <c:pt idx="107">
                  <c:v>798575</c:v>
                </c:pt>
                <c:pt idx="108">
                  <c:v>799800</c:v>
                </c:pt>
                <c:pt idx="109">
                  <c:v>803375</c:v>
                </c:pt>
                <c:pt idx="110">
                  <c:v>803375</c:v>
                </c:pt>
                <c:pt idx="111">
                  <c:v>803375</c:v>
                </c:pt>
                <c:pt idx="112">
                  <c:v>807525</c:v>
                </c:pt>
                <c:pt idx="113">
                  <c:v>812600</c:v>
                </c:pt>
                <c:pt idx="114">
                  <c:v>817725</c:v>
                </c:pt>
                <c:pt idx="115">
                  <c:v>823125</c:v>
                </c:pt>
                <c:pt idx="116">
                  <c:v>828575</c:v>
                </c:pt>
                <c:pt idx="117">
                  <c:v>828575</c:v>
                </c:pt>
                <c:pt idx="118">
                  <c:v>828575</c:v>
                </c:pt>
                <c:pt idx="119">
                  <c:v>833725</c:v>
                </c:pt>
                <c:pt idx="120">
                  <c:v>839175</c:v>
                </c:pt>
                <c:pt idx="121">
                  <c:v>845425</c:v>
                </c:pt>
                <c:pt idx="122">
                  <c:v>850100</c:v>
                </c:pt>
                <c:pt idx="123">
                  <c:v>854450</c:v>
                </c:pt>
                <c:pt idx="124">
                  <c:v>854450</c:v>
                </c:pt>
                <c:pt idx="125">
                  <c:v>854450</c:v>
                </c:pt>
                <c:pt idx="126">
                  <c:v>856450</c:v>
                </c:pt>
                <c:pt idx="127">
                  <c:v>859675</c:v>
                </c:pt>
                <c:pt idx="128">
                  <c:v>864275</c:v>
                </c:pt>
                <c:pt idx="129">
                  <c:v>869075</c:v>
                </c:pt>
                <c:pt idx="130">
                  <c:v>873825</c:v>
                </c:pt>
                <c:pt idx="131">
                  <c:v>873825</c:v>
                </c:pt>
                <c:pt idx="132">
                  <c:v>873825</c:v>
                </c:pt>
                <c:pt idx="133">
                  <c:v>870925</c:v>
                </c:pt>
                <c:pt idx="134">
                  <c:v>875150</c:v>
                </c:pt>
                <c:pt idx="135">
                  <c:v>876650</c:v>
                </c:pt>
                <c:pt idx="136">
                  <c:v>879750</c:v>
                </c:pt>
                <c:pt idx="137">
                  <c:v>883950</c:v>
                </c:pt>
                <c:pt idx="138">
                  <c:v>883950</c:v>
                </c:pt>
                <c:pt idx="139">
                  <c:v>883950</c:v>
                </c:pt>
                <c:pt idx="140">
                  <c:v>888050</c:v>
                </c:pt>
                <c:pt idx="141">
                  <c:v>892300</c:v>
                </c:pt>
                <c:pt idx="142">
                  <c:v>896725</c:v>
                </c:pt>
                <c:pt idx="143">
                  <c:v>901300</c:v>
                </c:pt>
                <c:pt idx="144">
                  <c:v>905575</c:v>
                </c:pt>
                <c:pt idx="145">
                  <c:v>905575</c:v>
                </c:pt>
                <c:pt idx="146">
                  <c:v>905575</c:v>
                </c:pt>
                <c:pt idx="147">
                  <c:v>910025</c:v>
                </c:pt>
                <c:pt idx="148">
                  <c:v>914225</c:v>
                </c:pt>
                <c:pt idx="149">
                  <c:v>918325</c:v>
                </c:pt>
                <c:pt idx="150">
                  <c:v>922850</c:v>
                </c:pt>
                <c:pt idx="151">
                  <c:v>927225</c:v>
                </c:pt>
                <c:pt idx="152">
                  <c:v>927225</c:v>
                </c:pt>
                <c:pt idx="153">
                  <c:v>927225</c:v>
                </c:pt>
                <c:pt idx="154">
                  <c:v>931175</c:v>
                </c:pt>
                <c:pt idx="155">
                  <c:v>933475</c:v>
                </c:pt>
                <c:pt idx="156">
                  <c:v>933475</c:v>
                </c:pt>
                <c:pt idx="157">
                  <c:v>888600</c:v>
                </c:pt>
                <c:pt idx="158">
                  <c:v>894425</c:v>
                </c:pt>
                <c:pt idx="159">
                  <c:v>894425</c:v>
                </c:pt>
                <c:pt idx="160">
                  <c:v>894425</c:v>
                </c:pt>
                <c:pt idx="161">
                  <c:v>885600</c:v>
                </c:pt>
                <c:pt idx="162">
                  <c:v>885600</c:v>
                </c:pt>
                <c:pt idx="163">
                  <c:v>885600</c:v>
                </c:pt>
                <c:pt idx="164">
                  <c:v>890625</c:v>
                </c:pt>
                <c:pt idx="165">
                  <c:v>894825</c:v>
                </c:pt>
                <c:pt idx="166">
                  <c:v>894825</c:v>
                </c:pt>
                <c:pt idx="167">
                  <c:v>894825</c:v>
                </c:pt>
                <c:pt idx="168">
                  <c:v>900100</c:v>
                </c:pt>
                <c:pt idx="169">
                  <c:v>904925</c:v>
                </c:pt>
                <c:pt idx="170">
                  <c:v>909400</c:v>
                </c:pt>
                <c:pt idx="171">
                  <c:v>913925</c:v>
                </c:pt>
                <c:pt idx="172">
                  <c:v>918475</c:v>
                </c:pt>
                <c:pt idx="173">
                  <c:v>918475</c:v>
                </c:pt>
                <c:pt idx="174">
                  <c:v>918475</c:v>
                </c:pt>
                <c:pt idx="175">
                  <c:v>923125</c:v>
                </c:pt>
                <c:pt idx="176">
                  <c:v>927750</c:v>
                </c:pt>
                <c:pt idx="177">
                  <c:v>932425</c:v>
                </c:pt>
                <c:pt idx="178">
                  <c:v>937150</c:v>
                </c:pt>
                <c:pt idx="179">
                  <c:v>941850</c:v>
                </c:pt>
                <c:pt idx="180">
                  <c:v>941850</c:v>
                </c:pt>
                <c:pt idx="181">
                  <c:v>941850</c:v>
                </c:pt>
                <c:pt idx="182">
                  <c:v>946425</c:v>
                </c:pt>
                <c:pt idx="183">
                  <c:v>951000</c:v>
                </c:pt>
                <c:pt idx="184">
                  <c:v>955575</c:v>
                </c:pt>
                <c:pt idx="185">
                  <c:v>960250</c:v>
                </c:pt>
                <c:pt idx="186">
                  <c:v>962250</c:v>
                </c:pt>
                <c:pt idx="187">
                  <c:v>962250</c:v>
                </c:pt>
                <c:pt idx="188">
                  <c:v>962250</c:v>
                </c:pt>
                <c:pt idx="189">
                  <c:v>964450</c:v>
                </c:pt>
                <c:pt idx="190">
                  <c:v>968975</c:v>
                </c:pt>
                <c:pt idx="191">
                  <c:v>971350</c:v>
                </c:pt>
                <c:pt idx="192">
                  <c:v>973350</c:v>
                </c:pt>
                <c:pt idx="193">
                  <c:v>977900</c:v>
                </c:pt>
                <c:pt idx="194">
                  <c:v>977900</c:v>
                </c:pt>
                <c:pt idx="195">
                  <c:v>977900</c:v>
                </c:pt>
                <c:pt idx="196">
                  <c:v>982475</c:v>
                </c:pt>
                <c:pt idx="197">
                  <c:v>987050</c:v>
                </c:pt>
                <c:pt idx="198">
                  <c:v>991600</c:v>
                </c:pt>
                <c:pt idx="199">
                  <c:v>996550</c:v>
                </c:pt>
                <c:pt idx="200">
                  <c:v>998200</c:v>
                </c:pt>
                <c:pt idx="201">
                  <c:v>998200</c:v>
                </c:pt>
                <c:pt idx="202">
                  <c:v>998200</c:v>
                </c:pt>
                <c:pt idx="203">
                  <c:v>1002725</c:v>
                </c:pt>
                <c:pt idx="204">
                  <c:v>1007700</c:v>
                </c:pt>
                <c:pt idx="205">
                  <c:v>1011325</c:v>
                </c:pt>
                <c:pt idx="206">
                  <c:v>1012575</c:v>
                </c:pt>
                <c:pt idx="207">
                  <c:v>1015425</c:v>
                </c:pt>
                <c:pt idx="208">
                  <c:v>1015425</c:v>
                </c:pt>
                <c:pt idx="209">
                  <c:v>1015425</c:v>
                </c:pt>
                <c:pt idx="210">
                  <c:v>1017975</c:v>
                </c:pt>
                <c:pt idx="211">
                  <c:v>1020675</c:v>
                </c:pt>
                <c:pt idx="212">
                  <c:v>1023225</c:v>
                </c:pt>
                <c:pt idx="213">
                  <c:v>1026650</c:v>
                </c:pt>
                <c:pt idx="214">
                  <c:v>1027375</c:v>
                </c:pt>
                <c:pt idx="215">
                  <c:v>1027375</c:v>
                </c:pt>
                <c:pt idx="216">
                  <c:v>1027375</c:v>
                </c:pt>
                <c:pt idx="217">
                  <c:v>1030125</c:v>
                </c:pt>
                <c:pt idx="218">
                  <c:v>1035650</c:v>
                </c:pt>
                <c:pt idx="219">
                  <c:v>1035575</c:v>
                </c:pt>
                <c:pt idx="220">
                  <c:v>1037775</c:v>
                </c:pt>
                <c:pt idx="221">
                  <c:v>1040475</c:v>
                </c:pt>
                <c:pt idx="222">
                  <c:v>1040475</c:v>
                </c:pt>
                <c:pt idx="223">
                  <c:v>1040475</c:v>
                </c:pt>
                <c:pt idx="224">
                  <c:v>1043000</c:v>
                </c:pt>
                <c:pt idx="225">
                  <c:v>1045700</c:v>
                </c:pt>
                <c:pt idx="226">
                  <c:v>1050750</c:v>
                </c:pt>
                <c:pt idx="227">
                  <c:v>1055775</c:v>
                </c:pt>
                <c:pt idx="228">
                  <c:v>1061025</c:v>
                </c:pt>
                <c:pt idx="229">
                  <c:v>1061025</c:v>
                </c:pt>
                <c:pt idx="230">
                  <c:v>1061025</c:v>
                </c:pt>
                <c:pt idx="231">
                  <c:v>1065850</c:v>
                </c:pt>
                <c:pt idx="232">
                  <c:v>1060475</c:v>
                </c:pt>
                <c:pt idx="233">
                  <c:v>986900</c:v>
                </c:pt>
                <c:pt idx="234">
                  <c:v>990225</c:v>
                </c:pt>
                <c:pt idx="235">
                  <c:v>993450</c:v>
                </c:pt>
                <c:pt idx="236">
                  <c:v>993450</c:v>
                </c:pt>
                <c:pt idx="237">
                  <c:v>993450</c:v>
                </c:pt>
                <c:pt idx="238">
                  <c:v>997900</c:v>
                </c:pt>
                <c:pt idx="239">
                  <c:v>1002725</c:v>
                </c:pt>
                <c:pt idx="240">
                  <c:v>1006000</c:v>
                </c:pt>
                <c:pt idx="241">
                  <c:v>1009075</c:v>
                </c:pt>
                <c:pt idx="242">
                  <c:v>1013025</c:v>
                </c:pt>
                <c:pt idx="243">
                  <c:v>1013025</c:v>
                </c:pt>
                <c:pt idx="244">
                  <c:v>1013025</c:v>
                </c:pt>
                <c:pt idx="245">
                  <c:v>1014675</c:v>
                </c:pt>
                <c:pt idx="246">
                  <c:v>1019475</c:v>
                </c:pt>
                <c:pt idx="247">
                  <c:v>1024025</c:v>
                </c:pt>
                <c:pt idx="248">
                  <c:v>966425</c:v>
                </c:pt>
                <c:pt idx="249">
                  <c:v>969050</c:v>
                </c:pt>
                <c:pt idx="250">
                  <c:v>969050</c:v>
                </c:pt>
                <c:pt idx="251">
                  <c:v>969050</c:v>
                </c:pt>
                <c:pt idx="252">
                  <c:v>972100</c:v>
                </c:pt>
                <c:pt idx="253">
                  <c:v>975100</c:v>
                </c:pt>
                <c:pt idx="254">
                  <c:v>974100</c:v>
                </c:pt>
                <c:pt idx="255">
                  <c:v>977100</c:v>
                </c:pt>
                <c:pt idx="256">
                  <c:v>978850</c:v>
                </c:pt>
                <c:pt idx="257">
                  <c:v>978850</c:v>
                </c:pt>
                <c:pt idx="258">
                  <c:v>978850</c:v>
                </c:pt>
                <c:pt idx="259">
                  <c:v>981475</c:v>
                </c:pt>
                <c:pt idx="260">
                  <c:v>981000</c:v>
                </c:pt>
                <c:pt idx="261">
                  <c:v>977100</c:v>
                </c:pt>
                <c:pt idx="262">
                  <c:v>980100</c:v>
                </c:pt>
                <c:pt idx="263">
                  <c:v>983075</c:v>
                </c:pt>
                <c:pt idx="264">
                  <c:v>983075</c:v>
                </c:pt>
                <c:pt idx="265">
                  <c:v>983075</c:v>
                </c:pt>
                <c:pt idx="266">
                  <c:v>985575</c:v>
                </c:pt>
                <c:pt idx="267">
                  <c:v>985350</c:v>
                </c:pt>
                <c:pt idx="268">
                  <c:v>985525</c:v>
                </c:pt>
                <c:pt idx="269">
                  <c:v>985375</c:v>
                </c:pt>
                <c:pt idx="270">
                  <c:v>984475</c:v>
                </c:pt>
                <c:pt idx="271">
                  <c:v>984475</c:v>
                </c:pt>
                <c:pt idx="272">
                  <c:v>984475</c:v>
                </c:pt>
                <c:pt idx="273">
                  <c:v>988350</c:v>
                </c:pt>
                <c:pt idx="274">
                  <c:v>992600</c:v>
                </c:pt>
                <c:pt idx="275">
                  <c:v>997600</c:v>
                </c:pt>
                <c:pt idx="276">
                  <c:v>1000200</c:v>
                </c:pt>
                <c:pt idx="277">
                  <c:v>1005325</c:v>
                </c:pt>
                <c:pt idx="278">
                  <c:v>1005325</c:v>
                </c:pt>
                <c:pt idx="279">
                  <c:v>1005325</c:v>
                </c:pt>
                <c:pt idx="280">
                  <c:v>1010400</c:v>
                </c:pt>
                <c:pt idx="281">
                  <c:v>1014825</c:v>
                </c:pt>
                <c:pt idx="282">
                  <c:v>1024850</c:v>
                </c:pt>
                <c:pt idx="283">
                  <c:v>1023575</c:v>
                </c:pt>
                <c:pt idx="284">
                  <c:v>1023575</c:v>
                </c:pt>
                <c:pt idx="285">
                  <c:v>1023575</c:v>
                </c:pt>
                <c:pt idx="286">
                  <c:v>1023575</c:v>
                </c:pt>
                <c:pt idx="287">
                  <c:v>1026100</c:v>
                </c:pt>
                <c:pt idx="288">
                  <c:v>1028625</c:v>
                </c:pt>
                <c:pt idx="289">
                  <c:v>1032175</c:v>
                </c:pt>
                <c:pt idx="290">
                  <c:v>1034700</c:v>
                </c:pt>
                <c:pt idx="291">
                  <c:v>1037275</c:v>
                </c:pt>
                <c:pt idx="292">
                  <c:v>1037275</c:v>
                </c:pt>
              </c:numCache>
            </c:numRef>
          </c:val>
        </c:ser>
        <c:ser>
          <c:idx val="2"/>
          <c:order val="1"/>
          <c:tx>
            <c:strRef>
              <c:f>金属库存及仓单工作区!$Z$2</c:f>
              <c:strCache>
                <c:ptCount val="1"/>
                <c:pt idx="0">
                  <c:v>上海锌库存</c:v>
                </c:pt>
              </c:strCache>
            </c:strRef>
          </c:tx>
          <c:spPr>
            <a:ln w="25400">
              <a:noFill/>
            </a:ln>
          </c:spPr>
          <c:cat>
            <c:numRef>
              <c:f>金属库存及仓单工作区!$K$4:$K$296</c:f>
              <c:numCache>
                <c:formatCode>yyyy/m/d</c:formatCode>
                <c:ptCount val="293"/>
                <c:pt idx="0">
                  <c:v>41795</c:v>
                </c:pt>
                <c:pt idx="1">
                  <c:v>41794</c:v>
                </c:pt>
                <c:pt idx="2">
                  <c:v>41793</c:v>
                </c:pt>
                <c:pt idx="3">
                  <c:v>41792</c:v>
                </c:pt>
                <c:pt idx="4">
                  <c:v>41791</c:v>
                </c:pt>
                <c:pt idx="5">
                  <c:v>41790</c:v>
                </c:pt>
                <c:pt idx="6">
                  <c:v>41789</c:v>
                </c:pt>
                <c:pt idx="7">
                  <c:v>41788</c:v>
                </c:pt>
                <c:pt idx="8">
                  <c:v>41787</c:v>
                </c:pt>
                <c:pt idx="9">
                  <c:v>41786</c:v>
                </c:pt>
                <c:pt idx="10">
                  <c:v>41785</c:v>
                </c:pt>
                <c:pt idx="11">
                  <c:v>41784</c:v>
                </c:pt>
                <c:pt idx="12">
                  <c:v>41783</c:v>
                </c:pt>
                <c:pt idx="13">
                  <c:v>41782</c:v>
                </c:pt>
                <c:pt idx="14">
                  <c:v>41781</c:v>
                </c:pt>
                <c:pt idx="15">
                  <c:v>41780</c:v>
                </c:pt>
                <c:pt idx="16">
                  <c:v>41779</c:v>
                </c:pt>
                <c:pt idx="17">
                  <c:v>41778</c:v>
                </c:pt>
                <c:pt idx="18">
                  <c:v>41777</c:v>
                </c:pt>
                <c:pt idx="19">
                  <c:v>41776</c:v>
                </c:pt>
                <c:pt idx="20">
                  <c:v>41775</c:v>
                </c:pt>
                <c:pt idx="21">
                  <c:v>41774</c:v>
                </c:pt>
                <c:pt idx="22">
                  <c:v>41773</c:v>
                </c:pt>
                <c:pt idx="23">
                  <c:v>41772</c:v>
                </c:pt>
                <c:pt idx="24">
                  <c:v>41771</c:v>
                </c:pt>
                <c:pt idx="25">
                  <c:v>41770</c:v>
                </c:pt>
                <c:pt idx="26">
                  <c:v>41769</c:v>
                </c:pt>
                <c:pt idx="27">
                  <c:v>41768</c:v>
                </c:pt>
                <c:pt idx="28">
                  <c:v>41767</c:v>
                </c:pt>
                <c:pt idx="29">
                  <c:v>41766</c:v>
                </c:pt>
                <c:pt idx="30">
                  <c:v>41765</c:v>
                </c:pt>
                <c:pt idx="31">
                  <c:v>41764</c:v>
                </c:pt>
                <c:pt idx="32">
                  <c:v>41763</c:v>
                </c:pt>
                <c:pt idx="33">
                  <c:v>41762</c:v>
                </c:pt>
                <c:pt idx="34">
                  <c:v>41761</c:v>
                </c:pt>
                <c:pt idx="35">
                  <c:v>41760</c:v>
                </c:pt>
                <c:pt idx="36">
                  <c:v>41759</c:v>
                </c:pt>
                <c:pt idx="37">
                  <c:v>41758</c:v>
                </c:pt>
                <c:pt idx="38">
                  <c:v>41757</c:v>
                </c:pt>
                <c:pt idx="39">
                  <c:v>41756</c:v>
                </c:pt>
                <c:pt idx="40">
                  <c:v>41755</c:v>
                </c:pt>
                <c:pt idx="41">
                  <c:v>41754</c:v>
                </c:pt>
                <c:pt idx="42">
                  <c:v>41753</c:v>
                </c:pt>
                <c:pt idx="43">
                  <c:v>41752</c:v>
                </c:pt>
                <c:pt idx="44">
                  <c:v>41751</c:v>
                </c:pt>
                <c:pt idx="45">
                  <c:v>41750</c:v>
                </c:pt>
                <c:pt idx="46">
                  <c:v>41749</c:v>
                </c:pt>
                <c:pt idx="47">
                  <c:v>41748</c:v>
                </c:pt>
                <c:pt idx="48">
                  <c:v>41747</c:v>
                </c:pt>
                <c:pt idx="49">
                  <c:v>41746</c:v>
                </c:pt>
                <c:pt idx="50">
                  <c:v>41745</c:v>
                </c:pt>
                <c:pt idx="51">
                  <c:v>41744</c:v>
                </c:pt>
                <c:pt idx="52">
                  <c:v>41743</c:v>
                </c:pt>
                <c:pt idx="53">
                  <c:v>41742</c:v>
                </c:pt>
                <c:pt idx="54">
                  <c:v>41741</c:v>
                </c:pt>
                <c:pt idx="55">
                  <c:v>41740</c:v>
                </c:pt>
                <c:pt idx="56">
                  <c:v>41739</c:v>
                </c:pt>
                <c:pt idx="57">
                  <c:v>41738</c:v>
                </c:pt>
                <c:pt idx="58">
                  <c:v>41737</c:v>
                </c:pt>
                <c:pt idx="59">
                  <c:v>41736</c:v>
                </c:pt>
                <c:pt idx="60">
                  <c:v>41735</c:v>
                </c:pt>
                <c:pt idx="61">
                  <c:v>41734</c:v>
                </c:pt>
                <c:pt idx="62">
                  <c:v>41733</c:v>
                </c:pt>
                <c:pt idx="63">
                  <c:v>41732</c:v>
                </c:pt>
                <c:pt idx="64">
                  <c:v>41731</c:v>
                </c:pt>
                <c:pt idx="65">
                  <c:v>41730</c:v>
                </c:pt>
                <c:pt idx="66">
                  <c:v>41729</c:v>
                </c:pt>
                <c:pt idx="67">
                  <c:v>41728</c:v>
                </c:pt>
                <c:pt idx="68">
                  <c:v>41727</c:v>
                </c:pt>
                <c:pt idx="69">
                  <c:v>41726</c:v>
                </c:pt>
                <c:pt idx="70">
                  <c:v>41725</c:v>
                </c:pt>
                <c:pt idx="71">
                  <c:v>41724</c:v>
                </c:pt>
                <c:pt idx="72">
                  <c:v>41723</c:v>
                </c:pt>
                <c:pt idx="73">
                  <c:v>41722</c:v>
                </c:pt>
                <c:pt idx="74">
                  <c:v>41721</c:v>
                </c:pt>
                <c:pt idx="75">
                  <c:v>41720</c:v>
                </c:pt>
                <c:pt idx="76">
                  <c:v>41719</c:v>
                </c:pt>
                <c:pt idx="77">
                  <c:v>41718</c:v>
                </c:pt>
                <c:pt idx="78">
                  <c:v>41717</c:v>
                </c:pt>
                <c:pt idx="79">
                  <c:v>41716</c:v>
                </c:pt>
                <c:pt idx="80">
                  <c:v>41715</c:v>
                </c:pt>
                <c:pt idx="81">
                  <c:v>41714</c:v>
                </c:pt>
                <c:pt idx="82">
                  <c:v>41713</c:v>
                </c:pt>
                <c:pt idx="83">
                  <c:v>41712</c:v>
                </c:pt>
                <c:pt idx="84">
                  <c:v>41711</c:v>
                </c:pt>
                <c:pt idx="85">
                  <c:v>41710</c:v>
                </c:pt>
                <c:pt idx="86">
                  <c:v>41709</c:v>
                </c:pt>
                <c:pt idx="87">
                  <c:v>41708</c:v>
                </c:pt>
                <c:pt idx="88">
                  <c:v>41707</c:v>
                </c:pt>
                <c:pt idx="89">
                  <c:v>41706</c:v>
                </c:pt>
                <c:pt idx="90">
                  <c:v>41705</c:v>
                </c:pt>
                <c:pt idx="91">
                  <c:v>41704</c:v>
                </c:pt>
                <c:pt idx="92">
                  <c:v>41703</c:v>
                </c:pt>
                <c:pt idx="93">
                  <c:v>41702</c:v>
                </c:pt>
                <c:pt idx="94">
                  <c:v>41701</c:v>
                </c:pt>
                <c:pt idx="95">
                  <c:v>41700</c:v>
                </c:pt>
                <c:pt idx="96">
                  <c:v>41699</c:v>
                </c:pt>
                <c:pt idx="97">
                  <c:v>41698</c:v>
                </c:pt>
                <c:pt idx="98">
                  <c:v>41697</c:v>
                </c:pt>
                <c:pt idx="99">
                  <c:v>41696</c:v>
                </c:pt>
                <c:pt idx="100">
                  <c:v>41695</c:v>
                </c:pt>
                <c:pt idx="101">
                  <c:v>41694</c:v>
                </c:pt>
                <c:pt idx="102">
                  <c:v>41693</c:v>
                </c:pt>
                <c:pt idx="103">
                  <c:v>41692</c:v>
                </c:pt>
                <c:pt idx="104">
                  <c:v>41691</c:v>
                </c:pt>
                <c:pt idx="105">
                  <c:v>41690</c:v>
                </c:pt>
                <c:pt idx="106">
                  <c:v>41689</c:v>
                </c:pt>
                <c:pt idx="107">
                  <c:v>41688</c:v>
                </c:pt>
                <c:pt idx="108">
                  <c:v>41687</c:v>
                </c:pt>
                <c:pt idx="109">
                  <c:v>41686</c:v>
                </c:pt>
                <c:pt idx="110">
                  <c:v>41685</c:v>
                </c:pt>
                <c:pt idx="111">
                  <c:v>41684</c:v>
                </c:pt>
                <c:pt idx="112">
                  <c:v>41683</c:v>
                </c:pt>
                <c:pt idx="113">
                  <c:v>41682</c:v>
                </c:pt>
                <c:pt idx="114">
                  <c:v>41681</c:v>
                </c:pt>
                <c:pt idx="115">
                  <c:v>41680</c:v>
                </c:pt>
                <c:pt idx="116">
                  <c:v>41679</c:v>
                </c:pt>
                <c:pt idx="117">
                  <c:v>41678</c:v>
                </c:pt>
                <c:pt idx="118">
                  <c:v>41677</c:v>
                </c:pt>
                <c:pt idx="119">
                  <c:v>41676</c:v>
                </c:pt>
                <c:pt idx="120">
                  <c:v>41675</c:v>
                </c:pt>
                <c:pt idx="121">
                  <c:v>41674</c:v>
                </c:pt>
                <c:pt idx="122">
                  <c:v>41673</c:v>
                </c:pt>
                <c:pt idx="123">
                  <c:v>41672</c:v>
                </c:pt>
                <c:pt idx="124">
                  <c:v>41671</c:v>
                </c:pt>
                <c:pt idx="125">
                  <c:v>41670</c:v>
                </c:pt>
                <c:pt idx="126">
                  <c:v>41669</c:v>
                </c:pt>
                <c:pt idx="127">
                  <c:v>41668</c:v>
                </c:pt>
                <c:pt idx="128">
                  <c:v>41667</c:v>
                </c:pt>
                <c:pt idx="129">
                  <c:v>41666</c:v>
                </c:pt>
                <c:pt idx="130">
                  <c:v>41665</c:v>
                </c:pt>
                <c:pt idx="131">
                  <c:v>41664</c:v>
                </c:pt>
                <c:pt idx="132">
                  <c:v>41663</c:v>
                </c:pt>
                <c:pt idx="133">
                  <c:v>41662</c:v>
                </c:pt>
                <c:pt idx="134">
                  <c:v>41661</c:v>
                </c:pt>
                <c:pt idx="135">
                  <c:v>41660</c:v>
                </c:pt>
                <c:pt idx="136">
                  <c:v>41659</c:v>
                </c:pt>
                <c:pt idx="137">
                  <c:v>41658</c:v>
                </c:pt>
                <c:pt idx="138">
                  <c:v>41657</c:v>
                </c:pt>
                <c:pt idx="139">
                  <c:v>41656</c:v>
                </c:pt>
                <c:pt idx="140">
                  <c:v>41655</c:v>
                </c:pt>
                <c:pt idx="141">
                  <c:v>41654</c:v>
                </c:pt>
                <c:pt idx="142">
                  <c:v>41653</c:v>
                </c:pt>
                <c:pt idx="143">
                  <c:v>41652</c:v>
                </c:pt>
                <c:pt idx="144">
                  <c:v>41651</c:v>
                </c:pt>
                <c:pt idx="145">
                  <c:v>41650</c:v>
                </c:pt>
                <c:pt idx="146">
                  <c:v>41649</c:v>
                </c:pt>
                <c:pt idx="147">
                  <c:v>41648</c:v>
                </c:pt>
                <c:pt idx="148">
                  <c:v>41647</c:v>
                </c:pt>
                <c:pt idx="149">
                  <c:v>41646</c:v>
                </c:pt>
                <c:pt idx="150">
                  <c:v>41645</c:v>
                </c:pt>
                <c:pt idx="151">
                  <c:v>41644</c:v>
                </c:pt>
                <c:pt idx="152">
                  <c:v>41643</c:v>
                </c:pt>
                <c:pt idx="153">
                  <c:v>41642</c:v>
                </c:pt>
                <c:pt idx="154">
                  <c:v>41641</c:v>
                </c:pt>
                <c:pt idx="155">
                  <c:v>41640</c:v>
                </c:pt>
                <c:pt idx="156">
                  <c:v>41639</c:v>
                </c:pt>
                <c:pt idx="157">
                  <c:v>41638</c:v>
                </c:pt>
                <c:pt idx="158">
                  <c:v>41637</c:v>
                </c:pt>
                <c:pt idx="159">
                  <c:v>41636</c:v>
                </c:pt>
                <c:pt idx="160">
                  <c:v>41635</c:v>
                </c:pt>
                <c:pt idx="161">
                  <c:v>41634</c:v>
                </c:pt>
                <c:pt idx="162">
                  <c:v>41633</c:v>
                </c:pt>
                <c:pt idx="163">
                  <c:v>41632</c:v>
                </c:pt>
                <c:pt idx="164">
                  <c:v>41631</c:v>
                </c:pt>
                <c:pt idx="165">
                  <c:v>41630</c:v>
                </c:pt>
                <c:pt idx="166">
                  <c:v>41629</c:v>
                </c:pt>
                <c:pt idx="167">
                  <c:v>41628</c:v>
                </c:pt>
                <c:pt idx="168">
                  <c:v>41627</c:v>
                </c:pt>
                <c:pt idx="169">
                  <c:v>41626</c:v>
                </c:pt>
                <c:pt idx="170">
                  <c:v>41625</c:v>
                </c:pt>
                <c:pt idx="171">
                  <c:v>41624</c:v>
                </c:pt>
                <c:pt idx="172">
                  <c:v>41623</c:v>
                </c:pt>
                <c:pt idx="173">
                  <c:v>41622</c:v>
                </c:pt>
                <c:pt idx="174">
                  <c:v>41621</c:v>
                </c:pt>
                <c:pt idx="175">
                  <c:v>41620</c:v>
                </c:pt>
                <c:pt idx="176">
                  <c:v>41619</c:v>
                </c:pt>
                <c:pt idx="177">
                  <c:v>41618</c:v>
                </c:pt>
                <c:pt idx="178">
                  <c:v>41617</c:v>
                </c:pt>
                <c:pt idx="179">
                  <c:v>41616</c:v>
                </c:pt>
                <c:pt idx="180">
                  <c:v>41615</c:v>
                </c:pt>
                <c:pt idx="181">
                  <c:v>41614</c:v>
                </c:pt>
                <c:pt idx="182">
                  <c:v>41613</c:v>
                </c:pt>
                <c:pt idx="183">
                  <c:v>41612</c:v>
                </c:pt>
                <c:pt idx="184">
                  <c:v>41611</c:v>
                </c:pt>
                <c:pt idx="185">
                  <c:v>41610</c:v>
                </c:pt>
                <c:pt idx="186">
                  <c:v>41609</c:v>
                </c:pt>
                <c:pt idx="187">
                  <c:v>41608</c:v>
                </c:pt>
                <c:pt idx="188">
                  <c:v>41607</c:v>
                </c:pt>
                <c:pt idx="189">
                  <c:v>41606</c:v>
                </c:pt>
                <c:pt idx="190">
                  <c:v>41605</c:v>
                </c:pt>
                <c:pt idx="191">
                  <c:v>41604</c:v>
                </c:pt>
                <c:pt idx="192">
                  <c:v>41603</c:v>
                </c:pt>
                <c:pt idx="193">
                  <c:v>41602</c:v>
                </c:pt>
                <c:pt idx="194">
                  <c:v>41601</c:v>
                </c:pt>
                <c:pt idx="195">
                  <c:v>41600</c:v>
                </c:pt>
                <c:pt idx="196">
                  <c:v>41599</c:v>
                </c:pt>
                <c:pt idx="197">
                  <c:v>41598</c:v>
                </c:pt>
                <c:pt idx="198">
                  <c:v>41597</c:v>
                </c:pt>
                <c:pt idx="199">
                  <c:v>41596</c:v>
                </c:pt>
                <c:pt idx="200">
                  <c:v>41595</c:v>
                </c:pt>
                <c:pt idx="201">
                  <c:v>41594</c:v>
                </c:pt>
                <c:pt idx="202">
                  <c:v>41593</c:v>
                </c:pt>
                <c:pt idx="203">
                  <c:v>41592</c:v>
                </c:pt>
                <c:pt idx="204">
                  <c:v>41591</c:v>
                </c:pt>
                <c:pt idx="205">
                  <c:v>41590</c:v>
                </c:pt>
                <c:pt idx="206">
                  <c:v>41589</c:v>
                </c:pt>
                <c:pt idx="207">
                  <c:v>41588</c:v>
                </c:pt>
                <c:pt idx="208">
                  <c:v>41587</c:v>
                </c:pt>
                <c:pt idx="209">
                  <c:v>41586</c:v>
                </c:pt>
                <c:pt idx="210">
                  <c:v>41585</c:v>
                </c:pt>
                <c:pt idx="211">
                  <c:v>41584</c:v>
                </c:pt>
                <c:pt idx="212">
                  <c:v>41583</c:v>
                </c:pt>
                <c:pt idx="213">
                  <c:v>41582</c:v>
                </c:pt>
                <c:pt idx="214">
                  <c:v>41581</c:v>
                </c:pt>
                <c:pt idx="215">
                  <c:v>41580</c:v>
                </c:pt>
                <c:pt idx="216">
                  <c:v>41579</c:v>
                </c:pt>
                <c:pt idx="217">
                  <c:v>41578</c:v>
                </c:pt>
                <c:pt idx="218">
                  <c:v>41577</c:v>
                </c:pt>
                <c:pt idx="219">
                  <c:v>41576</c:v>
                </c:pt>
                <c:pt idx="220">
                  <c:v>41575</c:v>
                </c:pt>
                <c:pt idx="221">
                  <c:v>41574</c:v>
                </c:pt>
                <c:pt idx="222">
                  <c:v>41573</c:v>
                </c:pt>
                <c:pt idx="223">
                  <c:v>41572</c:v>
                </c:pt>
                <c:pt idx="224">
                  <c:v>41571</c:v>
                </c:pt>
                <c:pt idx="225">
                  <c:v>41570</c:v>
                </c:pt>
                <c:pt idx="226">
                  <c:v>41569</c:v>
                </c:pt>
                <c:pt idx="227">
                  <c:v>41568</c:v>
                </c:pt>
                <c:pt idx="228">
                  <c:v>41567</c:v>
                </c:pt>
                <c:pt idx="229">
                  <c:v>41566</c:v>
                </c:pt>
                <c:pt idx="230">
                  <c:v>41565</c:v>
                </c:pt>
                <c:pt idx="231">
                  <c:v>41564</c:v>
                </c:pt>
                <c:pt idx="232">
                  <c:v>41563</c:v>
                </c:pt>
                <c:pt idx="233">
                  <c:v>41562</c:v>
                </c:pt>
                <c:pt idx="234">
                  <c:v>41561</c:v>
                </c:pt>
                <c:pt idx="235">
                  <c:v>41560</c:v>
                </c:pt>
                <c:pt idx="236">
                  <c:v>41559</c:v>
                </c:pt>
                <c:pt idx="237">
                  <c:v>41558</c:v>
                </c:pt>
                <c:pt idx="238">
                  <c:v>41557</c:v>
                </c:pt>
                <c:pt idx="239">
                  <c:v>41556</c:v>
                </c:pt>
                <c:pt idx="240">
                  <c:v>41555</c:v>
                </c:pt>
                <c:pt idx="241">
                  <c:v>41554</c:v>
                </c:pt>
                <c:pt idx="242">
                  <c:v>41553</c:v>
                </c:pt>
                <c:pt idx="243">
                  <c:v>41552</c:v>
                </c:pt>
                <c:pt idx="244">
                  <c:v>41551</c:v>
                </c:pt>
                <c:pt idx="245">
                  <c:v>41550</c:v>
                </c:pt>
                <c:pt idx="246">
                  <c:v>41549</c:v>
                </c:pt>
                <c:pt idx="247">
                  <c:v>41548</c:v>
                </c:pt>
                <c:pt idx="248">
                  <c:v>41547</c:v>
                </c:pt>
                <c:pt idx="249">
                  <c:v>41546</c:v>
                </c:pt>
                <c:pt idx="250">
                  <c:v>41545</c:v>
                </c:pt>
                <c:pt idx="251">
                  <c:v>41544</c:v>
                </c:pt>
                <c:pt idx="252">
                  <c:v>41543</c:v>
                </c:pt>
                <c:pt idx="253">
                  <c:v>41542</c:v>
                </c:pt>
                <c:pt idx="254">
                  <c:v>41541</c:v>
                </c:pt>
                <c:pt idx="255">
                  <c:v>41540</c:v>
                </c:pt>
                <c:pt idx="256">
                  <c:v>41539</c:v>
                </c:pt>
                <c:pt idx="257">
                  <c:v>41538</c:v>
                </c:pt>
                <c:pt idx="258">
                  <c:v>41537</c:v>
                </c:pt>
                <c:pt idx="259">
                  <c:v>41536</c:v>
                </c:pt>
                <c:pt idx="260">
                  <c:v>41535</c:v>
                </c:pt>
                <c:pt idx="261">
                  <c:v>41534</c:v>
                </c:pt>
                <c:pt idx="262">
                  <c:v>41533</c:v>
                </c:pt>
                <c:pt idx="263">
                  <c:v>41532</c:v>
                </c:pt>
                <c:pt idx="264">
                  <c:v>41531</c:v>
                </c:pt>
                <c:pt idx="265">
                  <c:v>41530</c:v>
                </c:pt>
                <c:pt idx="266">
                  <c:v>41529</c:v>
                </c:pt>
                <c:pt idx="267">
                  <c:v>41528</c:v>
                </c:pt>
                <c:pt idx="268">
                  <c:v>41527</c:v>
                </c:pt>
                <c:pt idx="269">
                  <c:v>41526</c:v>
                </c:pt>
                <c:pt idx="270">
                  <c:v>41525</c:v>
                </c:pt>
                <c:pt idx="271">
                  <c:v>41524</c:v>
                </c:pt>
                <c:pt idx="272">
                  <c:v>41523</c:v>
                </c:pt>
                <c:pt idx="273">
                  <c:v>41522</c:v>
                </c:pt>
                <c:pt idx="274">
                  <c:v>41521</c:v>
                </c:pt>
                <c:pt idx="275">
                  <c:v>41520</c:v>
                </c:pt>
                <c:pt idx="276">
                  <c:v>41519</c:v>
                </c:pt>
                <c:pt idx="277">
                  <c:v>41518</c:v>
                </c:pt>
                <c:pt idx="278">
                  <c:v>41517</c:v>
                </c:pt>
                <c:pt idx="279">
                  <c:v>41516</c:v>
                </c:pt>
                <c:pt idx="280">
                  <c:v>41515</c:v>
                </c:pt>
                <c:pt idx="281">
                  <c:v>41514</c:v>
                </c:pt>
                <c:pt idx="282">
                  <c:v>41513</c:v>
                </c:pt>
                <c:pt idx="283">
                  <c:v>41512</c:v>
                </c:pt>
                <c:pt idx="284">
                  <c:v>41511</c:v>
                </c:pt>
                <c:pt idx="285">
                  <c:v>41510</c:v>
                </c:pt>
                <c:pt idx="286">
                  <c:v>41509</c:v>
                </c:pt>
                <c:pt idx="287">
                  <c:v>41508</c:v>
                </c:pt>
                <c:pt idx="288">
                  <c:v>41507</c:v>
                </c:pt>
                <c:pt idx="289">
                  <c:v>41506</c:v>
                </c:pt>
                <c:pt idx="290">
                  <c:v>41505</c:v>
                </c:pt>
                <c:pt idx="291">
                  <c:v>41504</c:v>
                </c:pt>
                <c:pt idx="292">
                  <c:v>41503</c:v>
                </c:pt>
              </c:numCache>
            </c:numRef>
          </c:cat>
          <c:val>
            <c:numRef>
              <c:f>金属库存及仓单工作区!$Z$4:$Z$296</c:f>
              <c:numCache>
                <c:formatCode>0_);[Red]\(0\)</c:formatCode>
                <c:ptCount val="293"/>
                <c:pt idx="0">
                  <c:v>217166</c:v>
                </c:pt>
                <c:pt idx="1">
                  <c:v>217166</c:v>
                </c:pt>
                <c:pt idx="2">
                  <c:v>217166</c:v>
                </c:pt>
                <c:pt idx="3">
                  <c:v>217166</c:v>
                </c:pt>
                <c:pt idx="4">
                  <c:v>217166</c:v>
                </c:pt>
                <c:pt idx="5">
                  <c:v>217166</c:v>
                </c:pt>
                <c:pt idx="6">
                  <c:v>217166</c:v>
                </c:pt>
                <c:pt idx="7">
                  <c:v>217166</c:v>
                </c:pt>
                <c:pt idx="8">
                  <c:v>225468</c:v>
                </c:pt>
                <c:pt idx="9">
                  <c:v>225468</c:v>
                </c:pt>
                <c:pt idx="10">
                  <c:v>225468</c:v>
                </c:pt>
                <c:pt idx="11">
                  <c:v>225468</c:v>
                </c:pt>
                <c:pt idx="12">
                  <c:v>225468</c:v>
                </c:pt>
                <c:pt idx="13">
                  <c:v>225468</c:v>
                </c:pt>
                <c:pt idx="14">
                  <c:v>225468</c:v>
                </c:pt>
                <c:pt idx="15">
                  <c:v>237194</c:v>
                </c:pt>
                <c:pt idx="16">
                  <c:v>237194</c:v>
                </c:pt>
                <c:pt idx="17">
                  <c:v>237194</c:v>
                </c:pt>
                <c:pt idx="18">
                  <c:v>237194</c:v>
                </c:pt>
                <c:pt idx="19">
                  <c:v>237194</c:v>
                </c:pt>
                <c:pt idx="20">
                  <c:v>237194</c:v>
                </c:pt>
                <c:pt idx="21">
                  <c:v>237194</c:v>
                </c:pt>
                <c:pt idx="22">
                  <c:v>242466</c:v>
                </c:pt>
                <c:pt idx="23">
                  <c:v>242466</c:v>
                </c:pt>
                <c:pt idx="24">
                  <c:v>242466</c:v>
                </c:pt>
                <c:pt idx="25">
                  <c:v>242466</c:v>
                </c:pt>
                <c:pt idx="26">
                  <c:v>242466</c:v>
                </c:pt>
                <c:pt idx="27">
                  <c:v>242466</c:v>
                </c:pt>
                <c:pt idx="28">
                  <c:v>242466</c:v>
                </c:pt>
                <c:pt idx="29">
                  <c:v>247536</c:v>
                </c:pt>
                <c:pt idx="30">
                  <c:v>247536</c:v>
                </c:pt>
                <c:pt idx="31">
                  <c:v>247536</c:v>
                </c:pt>
                <c:pt idx="32">
                  <c:v>247536</c:v>
                </c:pt>
                <c:pt idx="33">
                  <c:v>247536</c:v>
                </c:pt>
                <c:pt idx="34">
                  <c:v>247536</c:v>
                </c:pt>
                <c:pt idx="35">
                  <c:v>247536</c:v>
                </c:pt>
                <c:pt idx="36">
                  <c:v>247745</c:v>
                </c:pt>
                <c:pt idx="37">
                  <c:v>247745</c:v>
                </c:pt>
                <c:pt idx="38">
                  <c:v>247745</c:v>
                </c:pt>
                <c:pt idx="39">
                  <c:v>247745</c:v>
                </c:pt>
                <c:pt idx="40">
                  <c:v>247745</c:v>
                </c:pt>
                <c:pt idx="41">
                  <c:v>247745</c:v>
                </c:pt>
                <c:pt idx="42">
                  <c:v>247745</c:v>
                </c:pt>
                <c:pt idx="43">
                  <c:v>253626</c:v>
                </c:pt>
                <c:pt idx="44">
                  <c:v>253626</c:v>
                </c:pt>
                <c:pt idx="45">
                  <c:v>253626</c:v>
                </c:pt>
                <c:pt idx="46">
                  <c:v>253626</c:v>
                </c:pt>
                <c:pt idx="47">
                  <c:v>253626</c:v>
                </c:pt>
                <c:pt idx="48">
                  <c:v>253626</c:v>
                </c:pt>
                <c:pt idx="49">
                  <c:v>253626</c:v>
                </c:pt>
                <c:pt idx="50">
                  <c:v>261407</c:v>
                </c:pt>
                <c:pt idx="51">
                  <c:v>261407</c:v>
                </c:pt>
                <c:pt idx="52">
                  <c:v>261407</c:v>
                </c:pt>
                <c:pt idx="53">
                  <c:v>261407</c:v>
                </c:pt>
                <c:pt idx="54">
                  <c:v>261407</c:v>
                </c:pt>
                <c:pt idx="55">
                  <c:v>261407</c:v>
                </c:pt>
                <c:pt idx="56">
                  <c:v>261407</c:v>
                </c:pt>
                <c:pt idx="57">
                  <c:v>268026</c:v>
                </c:pt>
                <c:pt idx="58">
                  <c:v>268026</c:v>
                </c:pt>
                <c:pt idx="59">
                  <c:v>268026</c:v>
                </c:pt>
                <c:pt idx="60">
                  <c:v>268026</c:v>
                </c:pt>
                <c:pt idx="61">
                  <c:v>268026</c:v>
                </c:pt>
                <c:pt idx="62">
                  <c:v>268026</c:v>
                </c:pt>
                <c:pt idx="63">
                  <c:v>268026</c:v>
                </c:pt>
                <c:pt idx="64">
                  <c:v>269942</c:v>
                </c:pt>
                <c:pt idx="65">
                  <c:v>269942</c:v>
                </c:pt>
                <c:pt idx="66">
                  <c:v>269942</c:v>
                </c:pt>
                <c:pt idx="67">
                  <c:v>269942</c:v>
                </c:pt>
                <c:pt idx="68">
                  <c:v>269942</c:v>
                </c:pt>
                <c:pt idx="69">
                  <c:v>269942</c:v>
                </c:pt>
                <c:pt idx="70">
                  <c:v>269942</c:v>
                </c:pt>
                <c:pt idx="71">
                  <c:v>272739</c:v>
                </c:pt>
                <c:pt idx="72">
                  <c:v>272739</c:v>
                </c:pt>
                <c:pt idx="73">
                  <c:v>272739</c:v>
                </c:pt>
                <c:pt idx="74">
                  <c:v>272739</c:v>
                </c:pt>
                <c:pt idx="75">
                  <c:v>272739</c:v>
                </c:pt>
                <c:pt idx="76">
                  <c:v>272739</c:v>
                </c:pt>
                <c:pt idx="77">
                  <c:v>272739</c:v>
                </c:pt>
                <c:pt idx="78">
                  <c:v>273700</c:v>
                </c:pt>
                <c:pt idx="79">
                  <c:v>273700</c:v>
                </c:pt>
                <c:pt idx="80">
                  <c:v>273700</c:v>
                </c:pt>
                <c:pt idx="81">
                  <c:v>273700</c:v>
                </c:pt>
                <c:pt idx="82">
                  <c:v>273700</c:v>
                </c:pt>
                <c:pt idx="83">
                  <c:v>273700</c:v>
                </c:pt>
                <c:pt idx="84">
                  <c:v>273700</c:v>
                </c:pt>
                <c:pt idx="85">
                  <c:v>269802</c:v>
                </c:pt>
                <c:pt idx="86">
                  <c:v>269802</c:v>
                </c:pt>
                <c:pt idx="87">
                  <c:v>269802</c:v>
                </c:pt>
                <c:pt idx="88">
                  <c:v>269802</c:v>
                </c:pt>
                <c:pt idx="89">
                  <c:v>269802</c:v>
                </c:pt>
                <c:pt idx="90">
                  <c:v>269802</c:v>
                </c:pt>
                <c:pt idx="91">
                  <c:v>269802</c:v>
                </c:pt>
                <c:pt idx="92">
                  <c:v>265838</c:v>
                </c:pt>
                <c:pt idx="93">
                  <c:v>265838</c:v>
                </c:pt>
                <c:pt idx="94">
                  <c:v>265838</c:v>
                </c:pt>
                <c:pt idx="95">
                  <c:v>265838</c:v>
                </c:pt>
                <c:pt idx="96">
                  <c:v>265838</c:v>
                </c:pt>
                <c:pt idx="97">
                  <c:v>265838</c:v>
                </c:pt>
                <c:pt idx="98">
                  <c:v>265838</c:v>
                </c:pt>
                <c:pt idx="99">
                  <c:v>265319</c:v>
                </c:pt>
                <c:pt idx="100">
                  <c:v>265319</c:v>
                </c:pt>
                <c:pt idx="101">
                  <c:v>265319</c:v>
                </c:pt>
                <c:pt idx="102">
                  <c:v>265319</c:v>
                </c:pt>
                <c:pt idx="103">
                  <c:v>265319</c:v>
                </c:pt>
                <c:pt idx="104">
                  <c:v>265319</c:v>
                </c:pt>
                <c:pt idx="105">
                  <c:v>265319</c:v>
                </c:pt>
                <c:pt idx="106">
                  <c:v>259271</c:v>
                </c:pt>
                <c:pt idx="107">
                  <c:v>259271</c:v>
                </c:pt>
                <c:pt idx="108">
                  <c:v>259271</c:v>
                </c:pt>
                <c:pt idx="109">
                  <c:v>259271</c:v>
                </c:pt>
                <c:pt idx="110">
                  <c:v>259271</c:v>
                </c:pt>
                <c:pt idx="111">
                  <c:v>259271</c:v>
                </c:pt>
                <c:pt idx="112">
                  <c:v>259271</c:v>
                </c:pt>
                <c:pt idx="113">
                  <c:v>246241</c:v>
                </c:pt>
                <c:pt idx="114">
                  <c:v>246241</c:v>
                </c:pt>
                <c:pt idx="115">
                  <c:v>246241</c:v>
                </c:pt>
                <c:pt idx="116">
                  <c:v>246241</c:v>
                </c:pt>
                <c:pt idx="117">
                  <c:v>246241</c:v>
                </c:pt>
                <c:pt idx="118">
                  <c:v>246241</c:v>
                </c:pt>
                <c:pt idx="119">
                  <c:v>246241</c:v>
                </c:pt>
                <c:pt idx="120">
                  <c:v>246241</c:v>
                </c:pt>
                <c:pt idx="121">
                  <c:v>246241</c:v>
                </c:pt>
                <c:pt idx="122">
                  <c:v>246241</c:v>
                </c:pt>
                <c:pt idx="123">
                  <c:v>246241</c:v>
                </c:pt>
                <c:pt idx="124">
                  <c:v>246241</c:v>
                </c:pt>
                <c:pt idx="125">
                  <c:v>246241</c:v>
                </c:pt>
                <c:pt idx="126">
                  <c:v>246241</c:v>
                </c:pt>
                <c:pt idx="127">
                  <c:v>244387</c:v>
                </c:pt>
                <c:pt idx="128">
                  <c:v>244387</c:v>
                </c:pt>
                <c:pt idx="129">
                  <c:v>244387</c:v>
                </c:pt>
                <c:pt idx="130">
                  <c:v>244387</c:v>
                </c:pt>
                <c:pt idx="131">
                  <c:v>244387</c:v>
                </c:pt>
                <c:pt idx="132">
                  <c:v>244387</c:v>
                </c:pt>
                <c:pt idx="133">
                  <c:v>244387</c:v>
                </c:pt>
                <c:pt idx="134">
                  <c:v>245524</c:v>
                </c:pt>
                <c:pt idx="135">
                  <c:v>245524</c:v>
                </c:pt>
                <c:pt idx="136">
                  <c:v>245524</c:v>
                </c:pt>
                <c:pt idx="137">
                  <c:v>245524</c:v>
                </c:pt>
                <c:pt idx="138">
                  <c:v>245524</c:v>
                </c:pt>
                <c:pt idx="139">
                  <c:v>245524</c:v>
                </c:pt>
                <c:pt idx="140">
                  <c:v>245524</c:v>
                </c:pt>
                <c:pt idx="141">
                  <c:v>243056</c:v>
                </c:pt>
                <c:pt idx="142">
                  <c:v>243056</c:v>
                </c:pt>
                <c:pt idx="143">
                  <c:v>243056</c:v>
                </c:pt>
                <c:pt idx="144">
                  <c:v>243056</c:v>
                </c:pt>
                <c:pt idx="145">
                  <c:v>243056</c:v>
                </c:pt>
                <c:pt idx="146">
                  <c:v>243056</c:v>
                </c:pt>
                <c:pt idx="147">
                  <c:v>243056</c:v>
                </c:pt>
                <c:pt idx="148">
                  <c:v>241724</c:v>
                </c:pt>
                <c:pt idx="149">
                  <c:v>241724</c:v>
                </c:pt>
                <c:pt idx="150">
                  <c:v>241724</c:v>
                </c:pt>
                <c:pt idx="151">
                  <c:v>241724</c:v>
                </c:pt>
                <c:pt idx="152">
                  <c:v>241724</c:v>
                </c:pt>
                <c:pt idx="153">
                  <c:v>241724</c:v>
                </c:pt>
                <c:pt idx="154">
                  <c:v>241724</c:v>
                </c:pt>
                <c:pt idx="155">
                  <c:v>238723</c:v>
                </c:pt>
                <c:pt idx="156">
                  <c:v>238723</c:v>
                </c:pt>
                <c:pt idx="157">
                  <c:v>238723</c:v>
                </c:pt>
                <c:pt idx="158">
                  <c:v>238723</c:v>
                </c:pt>
                <c:pt idx="159">
                  <c:v>238723</c:v>
                </c:pt>
                <c:pt idx="160">
                  <c:v>238723</c:v>
                </c:pt>
                <c:pt idx="161">
                  <c:v>238723</c:v>
                </c:pt>
                <c:pt idx="162">
                  <c:v>238226</c:v>
                </c:pt>
                <c:pt idx="163">
                  <c:v>238226</c:v>
                </c:pt>
                <c:pt idx="164">
                  <c:v>238226</c:v>
                </c:pt>
                <c:pt idx="165">
                  <c:v>238226</c:v>
                </c:pt>
                <c:pt idx="166">
                  <c:v>238226</c:v>
                </c:pt>
                <c:pt idx="167">
                  <c:v>238226</c:v>
                </c:pt>
                <c:pt idx="168">
                  <c:v>238226</c:v>
                </c:pt>
                <c:pt idx="169">
                  <c:v>228657</c:v>
                </c:pt>
                <c:pt idx="170">
                  <c:v>228657</c:v>
                </c:pt>
                <c:pt idx="171">
                  <c:v>228657</c:v>
                </c:pt>
                <c:pt idx="172">
                  <c:v>228657</c:v>
                </c:pt>
                <c:pt idx="173">
                  <c:v>228657</c:v>
                </c:pt>
                <c:pt idx="174">
                  <c:v>228657</c:v>
                </c:pt>
                <c:pt idx="175">
                  <c:v>228657</c:v>
                </c:pt>
                <c:pt idx="176">
                  <c:v>228058</c:v>
                </c:pt>
                <c:pt idx="177">
                  <c:v>228058</c:v>
                </c:pt>
                <c:pt idx="178">
                  <c:v>228058</c:v>
                </c:pt>
                <c:pt idx="179">
                  <c:v>228058</c:v>
                </c:pt>
                <c:pt idx="180">
                  <c:v>228058</c:v>
                </c:pt>
                <c:pt idx="181">
                  <c:v>228058</c:v>
                </c:pt>
                <c:pt idx="182">
                  <c:v>228058</c:v>
                </c:pt>
                <c:pt idx="183">
                  <c:v>231531</c:v>
                </c:pt>
                <c:pt idx="184">
                  <c:v>231531</c:v>
                </c:pt>
                <c:pt idx="185">
                  <c:v>231531</c:v>
                </c:pt>
                <c:pt idx="186">
                  <c:v>231531</c:v>
                </c:pt>
                <c:pt idx="187">
                  <c:v>231531</c:v>
                </c:pt>
                <c:pt idx="188">
                  <c:v>231531</c:v>
                </c:pt>
                <c:pt idx="189">
                  <c:v>231531</c:v>
                </c:pt>
                <c:pt idx="190">
                  <c:v>234254</c:v>
                </c:pt>
                <c:pt idx="191">
                  <c:v>234254</c:v>
                </c:pt>
                <c:pt idx="192">
                  <c:v>234254</c:v>
                </c:pt>
                <c:pt idx="193">
                  <c:v>234254</c:v>
                </c:pt>
                <c:pt idx="194">
                  <c:v>234254</c:v>
                </c:pt>
                <c:pt idx="195">
                  <c:v>234254</c:v>
                </c:pt>
                <c:pt idx="196">
                  <c:v>234254</c:v>
                </c:pt>
                <c:pt idx="197">
                  <c:v>242611</c:v>
                </c:pt>
                <c:pt idx="198">
                  <c:v>242611</c:v>
                </c:pt>
                <c:pt idx="199">
                  <c:v>242611</c:v>
                </c:pt>
                <c:pt idx="200">
                  <c:v>242611</c:v>
                </c:pt>
                <c:pt idx="201">
                  <c:v>242611</c:v>
                </c:pt>
                <c:pt idx="202">
                  <c:v>242611</c:v>
                </c:pt>
                <c:pt idx="203">
                  <c:v>242611</c:v>
                </c:pt>
                <c:pt idx="204">
                  <c:v>241530</c:v>
                </c:pt>
                <c:pt idx="205">
                  <c:v>241530</c:v>
                </c:pt>
                <c:pt idx="206">
                  <c:v>241530</c:v>
                </c:pt>
                <c:pt idx="207">
                  <c:v>241530</c:v>
                </c:pt>
                <c:pt idx="208">
                  <c:v>241530</c:v>
                </c:pt>
                <c:pt idx="209">
                  <c:v>241530</c:v>
                </c:pt>
                <c:pt idx="210">
                  <c:v>241530</c:v>
                </c:pt>
                <c:pt idx="211">
                  <c:v>243771</c:v>
                </c:pt>
                <c:pt idx="212">
                  <c:v>243771</c:v>
                </c:pt>
                <c:pt idx="213">
                  <c:v>243771</c:v>
                </c:pt>
                <c:pt idx="214">
                  <c:v>243771</c:v>
                </c:pt>
                <c:pt idx="215">
                  <c:v>243771</c:v>
                </c:pt>
                <c:pt idx="216">
                  <c:v>243771</c:v>
                </c:pt>
                <c:pt idx="217">
                  <c:v>243771</c:v>
                </c:pt>
                <c:pt idx="218">
                  <c:v>246522</c:v>
                </c:pt>
                <c:pt idx="219">
                  <c:v>246522</c:v>
                </c:pt>
                <c:pt idx="220">
                  <c:v>246522</c:v>
                </c:pt>
                <c:pt idx="221">
                  <c:v>246522</c:v>
                </c:pt>
                <c:pt idx="222">
                  <c:v>246522</c:v>
                </c:pt>
                <c:pt idx="223">
                  <c:v>246522</c:v>
                </c:pt>
                <c:pt idx="224">
                  <c:v>246522</c:v>
                </c:pt>
                <c:pt idx="225">
                  <c:v>253731</c:v>
                </c:pt>
                <c:pt idx="226">
                  <c:v>253731</c:v>
                </c:pt>
                <c:pt idx="227">
                  <c:v>253731</c:v>
                </c:pt>
                <c:pt idx="228">
                  <c:v>253731</c:v>
                </c:pt>
                <c:pt idx="229">
                  <c:v>253731</c:v>
                </c:pt>
                <c:pt idx="230">
                  <c:v>253731</c:v>
                </c:pt>
                <c:pt idx="231">
                  <c:v>253731</c:v>
                </c:pt>
                <c:pt idx="232">
                  <c:v>250717</c:v>
                </c:pt>
                <c:pt idx="233">
                  <c:v>250717</c:v>
                </c:pt>
                <c:pt idx="234">
                  <c:v>250717</c:v>
                </c:pt>
                <c:pt idx="235">
                  <c:v>250717</c:v>
                </c:pt>
                <c:pt idx="236">
                  <c:v>250717</c:v>
                </c:pt>
                <c:pt idx="237">
                  <c:v>250717</c:v>
                </c:pt>
                <c:pt idx="238">
                  <c:v>250717</c:v>
                </c:pt>
                <c:pt idx="239">
                  <c:v>253193</c:v>
                </c:pt>
                <c:pt idx="240">
                  <c:v>253193</c:v>
                </c:pt>
                <c:pt idx="241">
                  <c:v>253193</c:v>
                </c:pt>
                <c:pt idx="242">
                  <c:v>253193</c:v>
                </c:pt>
                <c:pt idx="243">
                  <c:v>253193</c:v>
                </c:pt>
                <c:pt idx="244">
                  <c:v>253193</c:v>
                </c:pt>
                <c:pt idx="245">
                  <c:v>253193</c:v>
                </c:pt>
                <c:pt idx="246">
                  <c:v>253193</c:v>
                </c:pt>
                <c:pt idx="247">
                  <c:v>253193</c:v>
                </c:pt>
                <c:pt idx="248">
                  <c:v>253193</c:v>
                </c:pt>
                <c:pt idx="249">
                  <c:v>253193</c:v>
                </c:pt>
                <c:pt idx="250">
                  <c:v>253193</c:v>
                </c:pt>
                <c:pt idx="251">
                  <c:v>253193</c:v>
                </c:pt>
                <c:pt idx="252">
                  <c:v>253193</c:v>
                </c:pt>
                <c:pt idx="253">
                  <c:v>253795</c:v>
                </c:pt>
                <c:pt idx="254">
                  <c:v>253795</c:v>
                </c:pt>
                <c:pt idx="255">
                  <c:v>253795</c:v>
                </c:pt>
                <c:pt idx="256">
                  <c:v>253795</c:v>
                </c:pt>
                <c:pt idx="257">
                  <c:v>253795</c:v>
                </c:pt>
                <c:pt idx="258">
                  <c:v>253795</c:v>
                </c:pt>
                <c:pt idx="259">
                  <c:v>253795</c:v>
                </c:pt>
                <c:pt idx="260">
                  <c:v>253795</c:v>
                </c:pt>
                <c:pt idx="261">
                  <c:v>253795</c:v>
                </c:pt>
                <c:pt idx="262">
                  <c:v>253795</c:v>
                </c:pt>
                <c:pt idx="263">
                  <c:v>253795</c:v>
                </c:pt>
                <c:pt idx="264">
                  <c:v>253795</c:v>
                </c:pt>
                <c:pt idx="265">
                  <c:v>253795</c:v>
                </c:pt>
                <c:pt idx="266">
                  <c:v>253795</c:v>
                </c:pt>
                <c:pt idx="267">
                  <c:v>262218</c:v>
                </c:pt>
                <c:pt idx="268">
                  <c:v>262218</c:v>
                </c:pt>
                <c:pt idx="269">
                  <c:v>262218</c:v>
                </c:pt>
                <c:pt idx="270">
                  <c:v>262218</c:v>
                </c:pt>
                <c:pt idx="271">
                  <c:v>262218</c:v>
                </c:pt>
                <c:pt idx="272">
                  <c:v>262218</c:v>
                </c:pt>
                <c:pt idx="273">
                  <c:v>262218</c:v>
                </c:pt>
                <c:pt idx="274">
                  <c:v>260247</c:v>
                </c:pt>
                <c:pt idx="275">
                  <c:v>260247</c:v>
                </c:pt>
                <c:pt idx="276">
                  <c:v>260247</c:v>
                </c:pt>
                <c:pt idx="277">
                  <c:v>260247</c:v>
                </c:pt>
                <c:pt idx="278">
                  <c:v>260247</c:v>
                </c:pt>
                <c:pt idx="279">
                  <c:v>260247</c:v>
                </c:pt>
                <c:pt idx="280">
                  <c:v>260247</c:v>
                </c:pt>
                <c:pt idx="281">
                  <c:v>261559</c:v>
                </c:pt>
                <c:pt idx="282">
                  <c:v>261559</c:v>
                </c:pt>
                <c:pt idx="283">
                  <c:v>261559</c:v>
                </c:pt>
                <c:pt idx="284">
                  <c:v>261559</c:v>
                </c:pt>
                <c:pt idx="285">
                  <c:v>261559</c:v>
                </c:pt>
                <c:pt idx="286">
                  <c:v>261559</c:v>
                </c:pt>
                <c:pt idx="287">
                  <c:v>261559</c:v>
                </c:pt>
                <c:pt idx="288">
                  <c:v>258147</c:v>
                </c:pt>
                <c:pt idx="289">
                  <c:v>258147</c:v>
                </c:pt>
                <c:pt idx="290">
                  <c:v>258147</c:v>
                </c:pt>
                <c:pt idx="291">
                  <c:v>258147</c:v>
                </c:pt>
                <c:pt idx="292">
                  <c:v>258147</c:v>
                </c:pt>
              </c:numCache>
            </c:numRef>
          </c:val>
        </c:ser>
        <c:axId val="122346496"/>
        <c:axId val="122352384"/>
      </c:areaChart>
      <c:lineChart>
        <c:grouping val="standard"/>
        <c:ser>
          <c:idx val="3"/>
          <c:order val="2"/>
          <c:tx>
            <c:strRef>
              <c:f>金属库存及仓单工作区!$AD$2</c:f>
              <c:strCache>
                <c:ptCount val="1"/>
                <c:pt idx="0">
                  <c:v>伦锌连三期价</c:v>
                </c:pt>
              </c:strCache>
            </c:strRef>
          </c:tx>
          <c:spPr>
            <a:ln>
              <a:solidFill>
                <a:srgbClr val="C0504D">
                  <a:lumMod val="75000"/>
                </a:srgbClr>
              </a:solidFill>
            </a:ln>
          </c:spPr>
          <c:marker>
            <c:symbol val="none"/>
          </c:marker>
          <c:cat>
            <c:numRef>
              <c:f>金属库存及仓单工作区!$K$4:$K$296</c:f>
              <c:numCache>
                <c:formatCode>yyyy/m/d</c:formatCode>
                <c:ptCount val="293"/>
                <c:pt idx="0">
                  <c:v>41795</c:v>
                </c:pt>
                <c:pt idx="1">
                  <c:v>41794</c:v>
                </c:pt>
                <c:pt idx="2">
                  <c:v>41793</c:v>
                </c:pt>
                <c:pt idx="3">
                  <c:v>41792</c:v>
                </c:pt>
                <c:pt idx="4">
                  <c:v>41791</c:v>
                </c:pt>
                <c:pt idx="5">
                  <c:v>41790</c:v>
                </c:pt>
                <c:pt idx="6">
                  <c:v>41789</c:v>
                </c:pt>
                <c:pt idx="7">
                  <c:v>41788</c:v>
                </c:pt>
                <c:pt idx="8">
                  <c:v>41787</c:v>
                </c:pt>
                <c:pt idx="9">
                  <c:v>41786</c:v>
                </c:pt>
                <c:pt idx="10">
                  <c:v>41785</c:v>
                </c:pt>
                <c:pt idx="11">
                  <c:v>41784</c:v>
                </c:pt>
                <c:pt idx="12">
                  <c:v>41783</c:v>
                </c:pt>
                <c:pt idx="13">
                  <c:v>41782</c:v>
                </c:pt>
                <c:pt idx="14">
                  <c:v>41781</c:v>
                </c:pt>
                <c:pt idx="15">
                  <c:v>41780</c:v>
                </c:pt>
                <c:pt idx="16">
                  <c:v>41779</c:v>
                </c:pt>
                <c:pt idx="17">
                  <c:v>41778</c:v>
                </c:pt>
                <c:pt idx="18">
                  <c:v>41777</c:v>
                </c:pt>
                <c:pt idx="19">
                  <c:v>41776</c:v>
                </c:pt>
                <c:pt idx="20">
                  <c:v>41775</c:v>
                </c:pt>
                <c:pt idx="21">
                  <c:v>41774</c:v>
                </c:pt>
                <c:pt idx="22">
                  <c:v>41773</c:v>
                </c:pt>
                <c:pt idx="23">
                  <c:v>41772</c:v>
                </c:pt>
                <c:pt idx="24">
                  <c:v>41771</c:v>
                </c:pt>
                <c:pt idx="25">
                  <c:v>41770</c:v>
                </c:pt>
                <c:pt idx="26">
                  <c:v>41769</c:v>
                </c:pt>
                <c:pt idx="27">
                  <c:v>41768</c:v>
                </c:pt>
                <c:pt idx="28">
                  <c:v>41767</c:v>
                </c:pt>
                <c:pt idx="29">
                  <c:v>41766</c:v>
                </c:pt>
                <c:pt idx="30">
                  <c:v>41765</c:v>
                </c:pt>
                <c:pt idx="31">
                  <c:v>41764</c:v>
                </c:pt>
                <c:pt idx="32">
                  <c:v>41763</c:v>
                </c:pt>
                <c:pt idx="33">
                  <c:v>41762</c:v>
                </c:pt>
                <c:pt idx="34">
                  <c:v>41761</c:v>
                </c:pt>
                <c:pt idx="35">
                  <c:v>41760</c:v>
                </c:pt>
                <c:pt idx="36">
                  <c:v>41759</c:v>
                </c:pt>
                <c:pt idx="37">
                  <c:v>41758</c:v>
                </c:pt>
                <c:pt idx="38">
                  <c:v>41757</c:v>
                </c:pt>
                <c:pt idx="39">
                  <c:v>41756</c:v>
                </c:pt>
                <c:pt idx="40">
                  <c:v>41755</c:v>
                </c:pt>
                <c:pt idx="41">
                  <c:v>41754</c:v>
                </c:pt>
                <c:pt idx="42">
                  <c:v>41753</c:v>
                </c:pt>
                <c:pt idx="43">
                  <c:v>41752</c:v>
                </c:pt>
                <c:pt idx="44">
                  <c:v>41751</c:v>
                </c:pt>
                <c:pt idx="45">
                  <c:v>41750</c:v>
                </c:pt>
                <c:pt idx="46">
                  <c:v>41749</c:v>
                </c:pt>
                <c:pt idx="47">
                  <c:v>41748</c:v>
                </c:pt>
                <c:pt idx="48">
                  <c:v>41747</c:v>
                </c:pt>
                <c:pt idx="49">
                  <c:v>41746</c:v>
                </c:pt>
                <c:pt idx="50">
                  <c:v>41745</c:v>
                </c:pt>
                <c:pt idx="51">
                  <c:v>41744</c:v>
                </c:pt>
                <c:pt idx="52">
                  <c:v>41743</c:v>
                </c:pt>
                <c:pt idx="53">
                  <c:v>41742</c:v>
                </c:pt>
                <c:pt idx="54">
                  <c:v>41741</c:v>
                </c:pt>
                <c:pt idx="55">
                  <c:v>41740</c:v>
                </c:pt>
                <c:pt idx="56">
                  <c:v>41739</c:v>
                </c:pt>
                <c:pt idx="57">
                  <c:v>41738</c:v>
                </c:pt>
                <c:pt idx="58">
                  <c:v>41737</c:v>
                </c:pt>
                <c:pt idx="59">
                  <c:v>41736</c:v>
                </c:pt>
                <c:pt idx="60">
                  <c:v>41735</c:v>
                </c:pt>
                <c:pt idx="61">
                  <c:v>41734</c:v>
                </c:pt>
                <c:pt idx="62">
                  <c:v>41733</c:v>
                </c:pt>
                <c:pt idx="63">
                  <c:v>41732</c:v>
                </c:pt>
                <c:pt idx="64">
                  <c:v>41731</c:v>
                </c:pt>
                <c:pt idx="65">
                  <c:v>41730</c:v>
                </c:pt>
                <c:pt idx="66">
                  <c:v>41729</c:v>
                </c:pt>
                <c:pt idx="67">
                  <c:v>41728</c:v>
                </c:pt>
                <c:pt idx="68">
                  <c:v>41727</c:v>
                </c:pt>
                <c:pt idx="69">
                  <c:v>41726</c:v>
                </c:pt>
                <c:pt idx="70">
                  <c:v>41725</c:v>
                </c:pt>
                <c:pt idx="71">
                  <c:v>41724</c:v>
                </c:pt>
                <c:pt idx="72">
                  <c:v>41723</c:v>
                </c:pt>
                <c:pt idx="73">
                  <c:v>41722</c:v>
                </c:pt>
                <c:pt idx="74">
                  <c:v>41721</c:v>
                </c:pt>
                <c:pt idx="75">
                  <c:v>41720</c:v>
                </c:pt>
                <c:pt idx="76">
                  <c:v>41719</c:v>
                </c:pt>
                <c:pt idx="77">
                  <c:v>41718</c:v>
                </c:pt>
                <c:pt idx="78">
                  <c:v>41717</c:v>
                </c:pt>
                <c:pt idx="79">
                  <c:v>41716</c:v>
                </c:pt>
                <c:pt idx="80">
                  <c:v>41715</c:v>
                </c:pt>
                <c:pt idx="81">
                  <c:v>41714</c:v>
                </c:pt>
                <c:pt idx="82">
                  <c:v>41713</c:v>
                </c:pt>
                <c:pt idx="83">
                  <c:v>41712</c:v>
                </c:pt>
                <c:pt idx="84">
                  <c:v>41711</c:v>
                </c:pt>
                <c:pt idx="85">
                  <c:v>41710</c:v>
                </c:pt>
                <c:pt idx="86">
                  <c:v>41709</c:v>
                </c:pt>
                <c:pt idx="87">
                  <c:v>41708</c:v>
                </c:pt>
                <c:pt idx="88">
                  <c:v>41707</c:v>
                </c:pt>
                <c:pt idx="89">
                  <c:v>41706</c:v>
                </c:pt>
                <c:pt idx="90">
                  <c:v>41705</c:v>
                </c:pt>
                <c:pt idx="91">
                  <c:v>41704</c:v>
                </c:pt>
                <c:pt idx="92">
                  <c:v>41703</c:v>
                </c:pt>
                <c:pt idx="93">
                  <c:v>41702</c:v>
                </c:pt>
                <c:pt idx="94">
                  <c:v>41701</c:v>
                </c:pt>
                <c:pt idx="95">
                  <c:v>41700</c:v>
                </c:pt>
                <c:pt idx="96">
                  <c:v>41699</c:v>
                </c:pt>
                <c:pt idx="97">
                  <c:v>41698</c:v>
                </c:pt>
                <c:pt idx="98">
                  <c:v>41697</c:v>
                </c:pt>
                <c:pt idx="99">
                  <c:v>41696</c:v>
                </c:pt>
                <c:pt idx="100">
                  <c:v>41695</c:v>
                </c:pt>
                <c:pt idx="101">
                  <c:v>41694</c:v>
                </c:pt>
                <c:pt idx="102">
                  <c:v>41693</c:v>
                </c:pt>
                <c:pt idx="103">
                  <c:v>41692</c:v>
                </c:pt>
                <c:pt idx="104">
                  <c:v>41691</c:v>
                </c:pt>
                <c:pt idx="105">
                  <c:v>41690</c:v>
                </c:pt>
                <c:pt idx="106">
                  <c:v>41689</c:v>
                </c:pt>
                <c:pt idx="107">
                  <c:v>41688</c:v>
                </c:pt>
                <c:pt idx="108">
                  <c:v>41687</c:v>
                </c:pt>
                <c:pt idx="109">
                  <c:v>41686</c:v>
                </c:pt>
                <c:pt idx="110">
                  <c:v>41685</c:v>
                </c:pt>
                <c:pt idx="111">
                  <c:v>41684</c:v>
                </c:pt>
                <c:pt idx="112">
                  <c:v>41683</c:v>
                </c:pt>
                <c:pt idx="113">
                  <c:v>41682</c:v>
                </c:pt>
                <c:pt idx="114">
                  <c:v>41681</c:v>
                </c:pt>
                <c:pt idx="115">
                  <c:v>41680</c:v>
                </c:pt>
                <c:pt idx="116">
                  <c:v>41679</c:v>
                </c:pt>
                <c:pt idx="117">
                  <c:v>41678</c:v>
                </c:pt>
                <c:pt idx="118">
                  <c:v>41677</c:v>
                </c:pt>
                <c:pt idx="119">
                  <c:v>41676</c:v>
                </c:pt>
                <c:pt idx="120">
                  <c:v>41675</c:v>
                </c:pt>
                <c:pt idx="121">
                  <c:v>41674</c:v>
                </c:pt>
                <c:pt idx="122">
                  <c:v>41673</c:v>
                </c:pt>
                <c:pt idx="123">
                  <c:v>41672</c:v>
                </c:pt>
                <c:pt idx="124">
                  <c:v>41671</c:v>
                </c:pt>
                <c:pt idx="125">
                  <c:v>41670</c:v>
                </c:pt>
                <c:pt idx="126">
                  <c:v>41669</c:v>
                </c:pt>
                <c:pt idx="127">
                  <c:v>41668</c:v>
                </c:pt>
                <c:pt idx="128">
                  <c:v>41667</c:v>
                </c:pt>
                <c:pt idx="129">
                  <c:v>41666</c:v>
                </c:pt>
                <c:pt idx="130">
                  <c:v>41665</c:v>
                </c:pt>
                <c:pt idx="131">
                  <c:v>41664</c:v>
                </c:pt>
                <c:pt idx="132">
                  <c:v>41663</c:v>
                </c:pt>
                <c:pt idx="133">
                  <c:v>41662</c:v>
                </c:pt>
                <c:pt idx="134">
                  <c:v>41661</c:v>
                </c:pt>
                <c:pt idx="135">
                  <c:v>41660</c:v>
                </c:pt>
                <c:pt idx="136">
                  <c:v>41659</c:v>
                </c:pt>
                <c:pt idx="137">
                  <c:v>41658</c:v>
                </c:pt>
                <c:pt idx="138">
                  <c:v>41657</c:v>
                </c:pt>
                <c:pt idx="139">
                  <c:v>41656</c:v>
                </c:pt>
                <c:pt idx="140">
                  <c:v>41655</c:v>
                </c:pt>
                <c:pt idx="141">
                  <c:v>41654</c:v>
                </c:pt>
                <c:pt idx="142">
                  <c:v>41653</c:v>
                </c:pt>
                <c:pt idx="143">
                  <c:v>41652</c:v>
                </c:pt>
                <c:pt idx="144">
                  <c:v>41651</c:v>
                </c:pt>
                <c:pt idx="145">
                  <c:v>41650</c:v>
                </c:pt>
                <c:pt idx="146">
                  <c:v>41649</c:v>
                </c:pt>
                <c:pt idx="147">
                  <c:v>41648</c:v>
                </c:pt>
                <c:pt idx="148">
                  <c:v>41647</c:v>
                </c:pt>
                <c:pt idx="149">
                  <c:v>41646</c:v>
                </c:pt>
                <c:pt idx="150">
                  <c:v>41645</c:v>
                </c:pt>
                <c:pt idx="151">
                  <c:v>41644</c:v>
                </c:pt>
                <c:pt idx="152">
                  <c:v>41643</c:v>
                </c:pt>
                <c:pt idx="153">
                  <c:v>41642</c:v>
                </c:pt>
                <c:pt idx="154">
                  <c:v>41641</c:v>
                </c:pt>
                <c:pt idx="155">
                  <c:v>41640</c:v>
                </c:pt>
                <c:pt idx="156">
                  <c:v>41639</c:v>
                </c:pt>
                <c:pt idx="157">
                  <c:v>41638</c:v>
                </c:pt>
                <c:pt idx="158">
                  <c:v>41637</c:v>
                </c:pt>
                <c:pt idx="159">
                  <c:v>41636</c:v>
                </c:pt>
                <c:pt idx="160">
                  <c:v>41635</c:v>
                </c:pt>
                <c:pt idx="161">
                  <c:v>41634</c:v>
                </c:pt>
                <c:pt idx="162">
                  <c:v>41633</c:v>
                </c:pt>
                <c:pt idx="163">
                  <c:v>41632</c:v>
                </c:pt>
                <c:pt idx="164">
                  <c:v>41631</c:v>
                </c:pt>
                <c:pt idx="165">
                  <c:v>41630</c:v>
                </c:pt>
                <c:pt idx="166">
                  <c:v>41629</c:v>
                </c:pt>
                <c:pt idx="167">
                  <c:v>41628</c:v>
                </c:pt>
                <c:pt idx="168">
                  <c:v>41627</c:v>
                </c:pt>
                <c:pt idx="169">
                  <c:v>41626</c:v>
                </c:pt>
                <c:pt idx="170">
                  <c:v>41625</c:v>
                </c:pt>
                <c:pt idx="171">
                  <c:v>41624</c:v>
                </c:pt>
                <c:pt idx="172">
                  <c:v>41623</c:v>
                </c:pt>
                <c:pt idx="173">
                  <c:v>41622</c:v>
                </c:pt>
                <c:pt idx="174">
                  <c:v>41621</c:v>
                </c:pt>
                <c:pt idx="175">
                  <c:v>41620</c:v>
                </c:pt>
                <c:pt idx="176">
                  <c:v>41619</c:v>
                </c:pt>
                <c:pt idx="177">
                  <c:v>41618</c:v>
                </c:pt>
                <c:pt idx="178">
                  <c:v>41617</c:v>
                </c:pt>
                <c:pt idx="179">
                  <c:v>41616</c:v>
                </c:pt>
                <c:pt idx="180">
                  <c:v>41615</c:v>
                </c:pt>
                <c:pt idx="181">
                  <c:v>41614</c:v>
                </c:pt>
                <c:pt idx="182">
                  <c:v>41613</c:v>
                </c:pt>
                <c:pt idx="183">
                  <c:v>41612</c:v>
                </c:pt>
                <c:pt idx="184">
                  <c:v>41611</c:v>
                </c:pt>
                <c:pt idx="185">
                  <c:v>41610</c:v>
                </c:pt>
                <c:pt idx="186">
                  <c:v>41609</c:v>
                </c:pt>
                <c:pt idx="187">
                  <c:v>41608</c:v>
                </c:pt>
                <c:pt idx="188">
                  <c:v>41607</c:v>
                </c:pt>
                <c:pt idx="189">
                  <c:v>41606</c:v>
                </c:pt>
                <c:pt idx="190">
                  <c:v>41605</c:v>
                </c:pt>
                <c:pt idx="191">
                  <c:v>41604</c:v>
                </c:pt>
                <c:pt idx="192">
                  <c:v>41603</c:v>
                </c:pt>
                <c:pt idx="193">
                  <c:v>41602</c:v>
                </c:pt>
                <c:pt idx="194">
                  <c:v>41601</c:v>
                </c:pt>
                <c:pt idx="195">
                  <c:v>41600</c:v>
                </c:pt>
                <c:pt idx="196">
                  <c:v>41599</c:v>
                </c:pt>
                <c:pt idx="197">
                  <c:v>41598</c:v>
                </c:pt>
                <c:pt idx="198">
                  <c:v>41597</c:v>
                </c:pt>
                <c:pt idx="199">
                  <c:v>41596</c:v>
                </c:pt>
                <c:pt idx="200">
                  <c:v>41595</c:v>
                </c:pt>
                <c:pt idx="201">
                  <c:v>41594</c:v>
                </c:pt>
                <c:pt idx="202">
                  <c:v>41593</c:v>
                </c:pt>
                <c:pt idx="203">
                  <c:v>41592</c:v>
                </c:pt>
                <c:pt idx="204">
                  <c:v>41591</c:v>
                </c:pt>
                <c:pt idx="205">
                  <c:v>41590</c:v>
                </c:pt>
                <c:pt idx="206">
                  <c:v>41589</c:v>
                </c:pt>
                <c:pt idx="207">
                  <c:v>41588</c:v>
                </c:pt>
                <c:pt idx="208">
                  <c:v>41587</c:v>
                </c:pt>
                <c:pt idx="209">
                  <c:v>41586</c:v>
                </c:pt>
                <c:pt idx="210">
                  <c:v>41585</c:v>
                </c:pt>
                <c:pt idx="211">
                  <c:v>41584</c:v>
                </c:pt>
                <c:pt idx="212">
                  <c:v>41583</c:v>
                </c:pt>
                <c:pt idx="213">
                  <c:v>41582</c:v>
                </c:pt>
                <c:pt idx="214">
                  <c:v>41581</c:v>
                </c:pt>
                <c:pt idx="215">
                  <c:v>41580</c:v>
                </c:pt>
                <c:pt idx="216">
                  <c:v>41579</c:v>
                </c:pt>
                <c:pt idx="217">
                  <c:v>41578</c:v>
                </c:pt>
                <c:pt idx="218">
                  <c:v>41577</c:v>
                </c:pt>
                <c:pt idx="219">
                  <c:v>41576</c:v>
                </c:pt>
                <c:pt idx="220">
                  <c:v>41575</c:v>
                </c:pt>
                <c:pt idx="221">
                  <c:v>41574</c:v>
                </c:pt>
                <c:pt idx="222">
                  <c:v>41573</c:v>
                </c:pt>
                <c:pt idx="223">
                  <c:v>41572</c:v>
                </c:pt>
                <c:pt idx="224">
                  <c:v>41571</c:v>
                </c:pt>
                <c:pt idx="225">
                  <c:v>41570</c:v>
                </c:pt>
                <c:pt idx="226">
                  <c:v>41569</c:v>
                </c:pt>
                <c:pt idx="227">
                  <c:v>41568</c:v>
                </c:pt>
                <c:pt idx="228">
                  <c:v>41567</c:v>
                </c:pt>
                <c:pt idx="229">
                  <c:v>41566</c:v>
                </c:pt>
                <c:pt idx="230">
                  <c:v>41565</c:v>
                </c:pt>
                <c:pt idx="231">
                  <c:v>41564</c:v>
                </c:pt>
                <c:pt idx="232">
                  <c:v>41563</c:v>
                </c:pt>
                <c:pt idx="233">
                  <c:v>41562</c:v>
                </c:pt>
                <c:pt idx="234">
                  <c:v>41561</c:v>
                </c:pt>
                <c:pt idx="235">
                  <c:v>41560</c:v>
                </c:pt>
                <c:pt idx="236">
                  <c:v>41559</c:v>
                </c:pt>
                <c:pt idx="237">
                  <c:v>41558</c:v>
                </c:pt>
                <c:pt idx="238">
                  <c:v>41557</c:v>
                </c:pt>
                <c:pt idx="239">
                  <c:v>41556</c:v>
                </c:pt>
                <c:pt idx="240">
                  <c:v>41555</c:v>
                </c:pt>
                <c:pt idx="241">
                  <c:v>41554</c:v>
                </c:pt>
                <c:pt idx="242">
                  <c:v>41553</c:v>
                </c:pt>
                <c:pt idx="243">
                  <c:v>41552</c:v>
                </c:pt>
                <c:pt idx="244">
                  <c:v>41551</c:v>
                </c:pt>
                <c:pt idx="245">
                  <c:v>41550</c:v>
                </c:pt>
                <c:pt idx="246">
                  <c:v>41549</c:v>
                </c:pt>
                <c:pt idx="247">
                  <c:v>41548</c:v>
                </c:pt>
                <c:pt idx="248">
                  <c:v>41547</c:v>
                </c:pt>
                <c:pt idx="249">
                  <c:v>41546</c:v>
                </c:pt>
                <c:pt idx="250">
                  <c:v>41545</c:v>
                </c:pt>
                <c:pt idx="251">
                  <c:v>41544</c:v>
                </c:pt>
                <c:pt idx="252">
                  <c:v>41543</c:v>
                </c:pt>
                <c:pt idx="253">
                  <c:v>41542</c:v>
                </c:pt>
                <c:pt idx="254">
                  <c:v>41541</c:v>
                </c:pt>
                <c:pt idx="255">
                  <c:v>41540</c:v>
                </c:pt>
                <c:pt idx="256">
                  <c:v>41539</c:v>
                </c:pt>
                <c:pt idx="257">
                  <c:v>41538</c:v>
                </c:pt>
                <c:pt idx="258">
                  <c:v>41537</c:v>
                </c:pt>
                <c:pt idx="259">
                  <c:v>41536</c:v>
                </c:pt>
                <c:pt idx="260">
                  <c:v>41535</c:v>
                </c:pt>
                <c:pt idx="261">
                  <c:v>41534</c:v>
                </c:pt>
                <c:pt idx="262">
                  <c:v>41533</c:v>
                </c:pt>
                <c:pt idx="263">
                  <c:v>41532</c:v>
                </c:pt>
                <c:pt idx="264">
                  <c:v>41531</c:v>
                </c:pt>
                <c:pt idx="265">
                  <c:v>41530</c:v>
                </c:pt>
                <c:pt idx="266">
                  <c:v>41529</c:v>
                </c:pt>
                <c:pt idx="267">
                  <c:v>41528</c:v>
                </c:pt>
                <c:pt idx="268">
                  <c:v>41527</c:v>
                </c:pt>
                <c:pt idx="269">
                  <c:v>41526</c:v>
                </c:pt>
                <c:pt idx="270">
                  <c:v>41525</c:v>
                </c:pt>
                <c:pt idx="271">
                  <c:v>41524</c:v>
                </c:pt>
                <c:pt idx="272">
                  <c:v>41523</c:v>
                </c:pt>
                <c:pt idx="273">
                  <c:v>41522</c:v>
                </c:pt>
                <c:pt idx="274">
                  <c:v>41521</c:v>
                </c:pt>
                <c:pt idx="275">
                  <c:v>41520</c:v>
                </c:pt>
                <c:pt idx="276">
                  <c:v>41519</c:v>
                </c:pt>
                <c:pt idx="277">
                  <c:v>41518</c:v>
                </c:pt>
                <c:pt idx="278">
                  <c:v>41517</c:v>
                </c:pt>
                <c:pt idx="279">
                  <c:v>41516</c:v>
                </c:pt>
                <c:pt idx="280">
                  <c:v>41515</c:v>
                </c:pt>
                <c:pt idx="281">
                  <c:v>41514</c:v>
                </c:pt>
                <c:pt idx="282">
                  <c:v>41513</c:v>
                </c:pt>
                <c:pt idx="283">
                  <c:v>41512</c:v>
                </c:pt>
                <c:pt idx="284">
                  <c:v>41511</c:v>
                </c:pt>
                <c:pt idx="285">
                  <c:v>41510</c:v>
                </c:pt>
                <c:pt idx="286">
                  <c:v>41509</c:v>
                </c:pt>
                <c:pt idx="287">
                  <c:v>41508</c:v>
                </c:pt>
                <c:pt idx="288">
                  <c:v>41507</c:v>
                </c:pt>
                <c:pt idx="289">
                  <c:v>41506</c:v>
                </c:pt>
                <c:pt idx="290">
                  <c:v>41505</c:v>
                </c:pt>
                <c:pt idx="291">
                  <c:v>41504</c:v>
                </c:pt>
                <c:pt idx="292">
                  <c:v>41503</c:v>
                </c:pt>
              </c:numCache>
            </c:numRef>
          </c:cat>
          <c:val>
            <c:numRef>
              <c:f>金属库存及仓单工作区!$AD$4:$AD$296</c:f>
              <c:numCache>
                <c:formatCode>0_);[Red]\(0\)</c:formatCode>
                <c:ptCount val="293"/>
                <c:pt idx="0">
                  <c:v>2088</c:v>
                </c:pt>
                <c:pt idx="1">
                  <c:v>2079.25</c:v>
                </c:pt>
                <c:pt idx="2">
                  <c:v>2089</c:v>
                </c:pt>
                <c:pt idx="3">
                  <c:v>2083.75</c:v>
                </c:pt>
                <c:pt idx="4">
                  <c:v>2054.5</c:v>
                </c:pt>
                <c:pt idx="5">
                  <c:v>2054.5</c:v>
                </c:pt>
                <c:pt idx="6">
                  <c:v>2054.5</c:v>
                </c:pt>
                <c:pt idx="7">
                  <c:v>2068</c:v>
                </c:pt>
                <c:pt idx="8">
                  <c:v>2075</c:v>
                </c:pt>
                <c:pt idx="9">
                  <c:v>2089</c:v>
                </c:pt>
                <c:pt idx="10">
                  <c:v>2084.25</c:v>
                </c:pt>
                <c:pt idx="11">
                  <c:v>2084.25</c:v>
                </c:pt>
                <c:pt idx="12">
                  <c:v>2084.25</c:v>
                </c:pt>
                <c:pt idx="13">
                  <c:v>2084.25</c:v>
                </c:pt>
                <c:pt idx="14">
                  <c:v>2079</c:v>
                </c:pt>
                <c:pt idx="15">
                  <c:v>2067.25</c:v>
                </c:pt>
                <c:pt idx="16">
                  <c:v>2080</c:v>
                </c:pt>
                <c:pt idx="17">
                  <c:v>2088.25</c:v>
                </c:pt>
                <c:pt idx="18">
                  <c:v>2063.5</c:v>
                </c:pt>
                <c:pt idx="19">
                  <c:v>2063.5</c:v>
                </c:pt>
                <c:pt idx="20">
                  <c:v>2063.5</c:v>
                </c:pt>
                <c:pt idx="21">
                  <c:v>2057.5</c:v>
                </c:pt>
                <c:pt idx="22">
                  <c:v>2102</c:v>
                </c:pt>
                <c:pt idx="23">
                  <c:v>2060.25</c:v>
                </c:pt>
                <c:pt idx="24">
                  <c:v>2076</c:v>
                </c:pt>
                <c:pt idx="25">
                  <c:v>2032.75</c:v>
                </c:pt>
                <c:pt idx="26">
                  <c:v>2032.75</c:v>
                </c:pt>
                <c:pt idx="27">
                  <c:v>2032.75</c:v>
                </c:pt>
                <c:pt idx="28">
                  <c:v>2036.25</c:v>
                </c:pt>
                <c:pt idx="29">
                  <c:v>2028</c:v>
                </c:pt>
                <c:pt idx="30">
                  <c:v>2053</c:v>
                </c:pt>
                <c:pt idx="31">
                  <c:v>2042</c:v>
                </c:pt>
                <c:pt idx="32">
                  <c:v>2042</c:v>
                </c:pt>
                <c:pt idx="33">
                  <c:v>2042</c:v>
                </c:pt>
                <c:pt idx="34">
                  <c:v>2042</c:v>
                </c:pt>
                <c:pt idx="35">
                  <c:v>2022.5</c:v>
                </c:pt>
                <c:pt idx="36">
                  <c:v>2043.5</c:v>
                </c:pt>
                <c:pt idx="37">
                  <c:v>2057.5</c:v>
                </c:pt>
                <c:pt idx="38">
                  <c:v>2069</c:v>
                </c:pt>
                <c:pt idx="39">
                  <c:v>2059</c:v>
                </c:pt>
                <c:pt idx="40">
                  <c:v>2059</c:v>
                </c:pt>
                <c:pt idx="41">
                  <c:v>2059</c:v>
                </c:pt>
                <c:pt idx="42">
                  <c:v>2075</c:v>
                </c:pt>
                <c:pt idx="43">
                  <c:v>2061.5</c:v>
                </c:pt>
                <c:pt idx="44">
                  <c:v>2084</c:v>
                </c:pt>
                <c:pt idx="45">
                  <c:v>2062.5</c:v>
                </c:pt>
                <c:pt idx="46">
                  <c:v>2062.5</c:v>
                </c:pt>
                <c:pt idx="47">
                  <c:v>2062.5</c:v>
                </c:pt>
                <c:pt idx="48">
                  <c:v>2062.5</c:v>
                </c:pt>
                <c:pt idx="49">
                  <c:v>2062.5</c:v>
                </c:pt>
                <c:pt idx="50">
                  <c:v>2067</c:v>
                </c:pt>
                <c:pt idx="51">
                  <c:v>2045.25</c:v>
                </c:pt>
                <c:pt idx="52">
                  <c:v>2050.5</c:v>
                </c:pt>
                <c:pt idx="53">
                  <c:v>2023.25</c:v>
                </c:pt>
                <c:pt idx="54">
                  <c:v>2023.25</c:v>
                </c:pt>
                <c:pt idx="55">
                  <c:v>2023.25</c:v>
                </c:pt>
                <c:pt idx="56">
                  <c:v>2038</c:v>
                </c:pt>
                <c:pt idx="57">
                  <c:v>2019</c:v>
                </c:pt>
                <c:pt idx="58">
                  <c:v>2024.5</c:v>
                </c:pt>
                <c:pt idx="59">
                  <c:v>1999.75</c:v>
                </c:pt>
                <c:pt idx="60">
                  <c:v>2002.75</c:v>
                </c:pt>
                <c:pt idx="61">
                  <c:v>2002.75</c:v>
                </c:pt>
                <c:pt idx="62">
                  <c:v>2002.75</c:v>
                </c:pt>
                <c:pt idx="63">
                  <c:v>1981.5</c:v>
                </c:pt>
                <c:pt idx="64">
                  <c:v>1967</c:v>
                </c:pt>
                <c:pt idx="65">
                  <c:v>1966.25</c:v>
                </c:pt>
                <c:pt idx="66">
                  <c:v>1982</c:v>
                </c:pt>
                <c:pt idx="67">
                  <c:v>1976.5</c:v>
                </c:pt>
                <c:pt idx="68">
                  <c:v>1976.5</c:v>
                </c:pt>
                <c:pt idx="69">
                  <c:v>1976.5</c:v>
                </c:pt>
                <c:pt idx="70">
                  <c:v>1972.5</c:v>
                </c:pt>
                <c:pt idx="71">
                  <c:v>1970.5</c:v>
                </c:pt>
                <c:pt idx="72">
                  <c:v>1992</c:v>
                </c:pt>
                <c:pt idx="73">
                  <c:v>1945</c:v>
                </c:pt>
                <c:pt idx="74">
                  <c:v>1953.25</c:v>
                </c:pt>
                <c:pt idx="75">
                  <c:v>1953.25</c:v>
                </c:pt>
                <c:pt idx="76">
                  <c:v>1953.25</c:v>
                </c:pt>
                <c:pt idx="77">
                  <c:v>1953.5</c:v>
                </c:pt>
                <c:pt idx="78">
                  <c:v>1980.75</c:v>
                </c:pt>
                <c:pt idx="79">
                  <c:v>1979</c:v>
                </c:pt>
                <c:pt idx="80">
                  <c:v>1960.5</c:v>
                </c:pt>
                <c:pt idx="81">
                  <c:v>1975</c:v>
                </c:pt>
                <c:pt idx="82">
                  <c:v>1975</c:v>
                </c:pt>
                <c:pt idx="83">
                  <c:v>1975</c:v>
                </c:pt>
                <c:pt idx="84">
                  <c:v>1977.25</c:v>
                </c:pt>
                <c:pt idx="85">
                  <c:v>1983</c:v>
                </c:pt>
                <c:pt idx="86">
                  <c:v>2000</c:v>
                </c:pt>
                <c:pt idx="87">
                  <c:v>2038</c:v>
                </c:pt>
                <c:pt idx="88">
                  <c:v>2058.5</c:v>
                </c:pt>
                <c:pt idx="89">
                  <c:v>2058.5</c:v>
                </c:pt>
                <c:pt idx="90">
                  <c:v>2058.5</c:v>
                </c:pt>
                <c:pt idx="91">
                  <c:v>2111</c:v>
                </c:pt>
                <c:pt idx="92">
                  <c:v>2119</c:v>
                </c:pt>
                <c:pt idx="93">
                  <c:v>2126.75</c:v>
                </c:pt>
                <c:pt idx="94">
                  <c:v>2075.5</c:v>
                </c:pt>
                <c:pt idx="95">
                  <c:v>2079</c:v>
                </c:pt>
                <c:pt idx="96">
                  <c:v>2079</c:v>
                </c:pt>
                <c:pt idx="97">
                  <c:v>2079</c:v>
                </c:pt>
                <c:pt idx="98">
                  <c:v>2066.5</c:v>
                </c:pt>
                <c:pt idx="99">
                  <c:v>2057.5</c:v>
                </c:pt>
                <c:pt idx="100">
                  <c:v>2046</c:v>
                </c:pt>
                <c:pt idx="101">
                  <c:v>2042</c:v>
                </c:pt>
                <c:pt idx="102">
                  <c:v>2040</c:v>
                </c:pt>
                <c:pt idx="103">
                  <c:v>2040</c:v>
                </c:pt>
                <c:pt idx="104">
                  <c:v>2040</c:v>
                </c:pt>
                <c:pt idx="105">
                  <c:v>2048.75</c:v>
                </c:pt>
                <c:pt idx="106">
                  <c:v>2060.25</c:v>
                </c:pt>
                <c:pt idx="107">
                  <c:v>2068</c:v>
                </c:pt>
                <c:pt idx="108">
                  <c:v>2059.5</c:v>
                </c:pt>
                <c:pt idx="109">
                  <c:v>2041.5</c:v>
                </c:pt>
                <c:pt idx="110">
                  <c:v>2041.5</c:v>
                </c:pt>
                <c:pt idx="111">
                  <c:v>2041.5</c:v>
                </c:pt>
                <c:pt idx="112">
                  <c:v>2024</c:v>
                </c:pt>
                <c:pt idx="113">
                  <c:v>2019</c:v>
                </c:pt>
                <c:pt idx="114">
                  <c:v>1998.25</c:v>
                </c:pt>
                <c:pt idx="115">
                  <c:v>2006.25</c:v>
                </c:pt>
                <c:pt idx="116">
                  <c:v>2019</c:v>
                </c:pt>
                <c:pt idx="117">
                  <c:v>2019</c:v>
                </c:pt>
                <c:pt idx="118">
                  <c:v>2019</c:v>
                </c:pt>
                <c:pt idx="119">
                  <c:v>1995.5</c:v>
                </c:pt>
                <c:pt idx="120">
                  <c:v>1964.5</c:v>
                </c:pt>
                <c:pt idx="121">
                  <c:v>1948</c:v>
                </c:pt>
                <c:pt idx="122">
                  <c:v>1954.25</c:v>
                </c:pt>
                <c:pt idx="123">
                  <c:v>1970</c:v>
                </c:pt>
                <c:pt idx="124">
                  <c:v>1970</c:v>
                </c:pt>
                <c:pt idx="125">
                  <c:v>1970</c:v>
                </c:pt>
                <c:pt idx="126">
                  <c:v>1981.5</c:v>
                </c:pt>
                <c:pt idx="127">
                  <c:v>1992</c:v>
                </c:pt>
                <c:pt idx="128">
                  <c:v>2003.75</c:v>
                </c:pt>
                <c:pt idx="129">
                  <c:v>2011.5</c:v>
                </c:pt>
                <c:pt idx="130">
                  <c:v>2020.25</c:v>
                </c:pt>
                <c:pt idx="131">
                  <c:v>2020.25</c:v>
                </c:pt>
                <c:pt idx="132">
                  <c:v>2020.25</c:v>
                </c:pt>
                <c:pt idx="133">
                  <c:v>2047</c:v>
                </c:pt>
                <c:pt idx="134">
                  <c:v>2087</c:v>
                </c:pt>
                <c:pt idx="135">
                  <c:v>2093</c:v>
                </c:pt>
                <c:pt idx="136">
                  <c:v>2078.5</c:v>
                </c:pt>
                <c:pt idx="137">
                  <c:v>2081</c:v>
                </c:pt>
                <c:pt idx="138">
                  <c:v>2081</c:v>
                </c:pt>
                <c:pt idx="139">
                  <c:v>2081</c:v>
                </c:pt>
                <c:pt idx="140">
                  <c:v>2074</c:v>
                </c:pt>
                <c:pt idx="141">
                  <c:v>2081</c:v>
                </c:pt>
                <c:pt idx="142">
                  <c:v>2066</c:v>
                </c:pt>
                <c:pt idx="143">
                  <c:v>2072.5</c:v>
                </c:pt>
                <c:pt idx="144">
                  <c:v>2037</c:v>
                </c:pt>
                <c:pt idx="145">
                  <c:v>2037</c:v>
                </c:pt>
                <c:pt idx="146">
                  <c:v>2037</c:v>
                </c:pt>
                <c:pt idx="147">
                  <c:v>2013</c:v>
                </c:pt>
                <c:pt idx="148">
                  <c:v>2032</c:v>
                </c:pt>
                <c:pt idx="149">
                  <c:v>2045.5</c:v>
                </c:pt>
                <c:pt idx="150">
                  <c:v>2038.25</c:v>
                </c:pt>
                <c:pt idx="151">
                  <c:v>2031.5</c:v>
                </c:pt>
                <c:pt idx="152">
                  <c:v>2031.5</c:v>
                </c:pt>
                <c:pt idx="153">
                  <c:v>2031.5</c:v>
                </c:pt>
                <c:pt idx="154">
                  <c:v>2082</c:v>
                </c:pt>
                <c:pt idx="155">
                  <c:v>2058</c:v>
                </c:pt>
                <c:pt idx="156">
                  <c:v>2058</c:v>
                </c:pt>
                <c:pt idx="157">
                  <c:v>2098</c:v>
                </c:pt>
                <c:pt idx="158">
                  <c:v>2100</c:v>
                </c:pt>
                <c:pt idx="159">
                  <c:v>2100</c:v>
                </c:pt>
                <c:pt idx="160">
                  <c:v>2100</c:v>
                </c:pt>
                <c:pt idx="161">
                  <c:v>2086</c:v>
                </c:pt>
                <c:pt idx="162">
                  <c:v>2086</c:v>
                </c:pt>
                <c:pt idx="163">
                  <c:v>2086</c:v>
                </c:pt>
                <c:pt idx="164">
                  <c:v>2063.5</c:v>
                </c:pt>
                <c:pt idx="165">
                  <c:v>2046</c:v>
                </c:pt>
                <c:pt idx="166">
                  <c:v>2046</c:v>
                </c:pt>
                <c:pt idx="167">
                  <c:v>2046</c:v>
                </c:pt>
                <c:pt idx="168">
                  <c:v>1989.5</c:v>
                </c:pt>
                <c:pt idx="169">
                  <c:v>1991.25</c:v>
                </c:pt>
                <c:pt idx="170">
                  <c:v>2000.5</c:v>
                </c:pt>
                <c:pt idx="171">
                  <c:v>1987.75</c:v>
                </c:pt>
                <c:pt idx="172">
                  <c:v>1974.75</c:v>
                </c:pt>
                <c:pt idx="173">
                  <c:v>1974.75</c:v>
                </c:pt>
                <c:pt idx="174">
                  <c:v>1974.75</c:v>
                </c:pt>
                <c:pt idx="175">
                  <c:v>1963.5</c:v>
                </c:pt>
                <c:pt idx="176">
                  <c:v>1962.5</c:v>
                </c:pt>
                <c:pt idx="177">
                  <c:v>1946.75</c:v>
                </c:pt>
                <c:pt idx="178">
                  <c:v>1914</c:v>
                </c:pt>
                <c:pt idx="179">
                  <c:v>1900.75</c:v>
                </c:pt>
                <c:pt idx="180">
                  <c:v>1900.75</c:v>
                </c:pt>
                <c:pt idx="181">
                  <c:v>1900.75</c:v>
                </c:pt>
                <c:pt idx="182">
                  <c:v>1892.5</c:v>
                </c:pt>
                <c:pt idx="183">
                  <c:v>1890.5</c:v>
                </c:pt>
                <c:pt idx="184">
                  <c:v>1870.5</c:v>
                </c:pt>
                <c:pt idx="185">
                  <c:v>1873</c:v>
                </c:pt>
                <c:pt idx="186">
                  <c:v>1884</c:v>
                </c:pt>
                <c:pt idx="187">
                  <c:v>1884</c:v>
                </c:pt>
                <c:pt idx="188">
                  <c:v>1884</c:v>
                </c:pt>
                <c:pt idx="189">
                  <c:v>1865.75</c:v>
                </c:pt>
                <c:pt idx="190">
                  <c:v>1869.5</c:v>
                </c:pt>
                <c:pt idx="191">
                  <c:v>1883.75</c:v>
                </c:pt>
                <c:pt idx="192">
                  <c:v>1901.5</c:v>
                </c:pt>
                <c:pt idx="193">
                  <c:v>1909.5</c:v>
                </c:pt>
                <c:pt idx="194">
                  <c:v>1909.5</c:v>
                </c:pt>
                <c:pt idx="195">
                  <c:v>1909.5</c:v>
                </c:pt>
                <c:pt idx="196">
                  <c:v>1890</c:v>
                </c:pt>
                <c:pt idx="197">
                  <c:v>1890.25</c:v>
                </c:pt>
                <c:pt idx="198">
                  <c:v>1896</c:v>
                </c:pt>
                <c:pt idx="199">
                  <c:v>1874.25</c:v>
                </c:pt>
                <c:pt idx="200">
                  <c:v>1888.5</c:v>
                </c:pt>
                <c:pt idx="201">
                  <c:v>1888.5</c:v>
                </c:pt>
                <c:pt idx="202">
                  <c:v>1888.5</c:v>
                </c:pt>
                <c:pt idx="203">
                  <c:v>1875</c:v>
                </c:pt>
                <c:pt idx="204">
                  <c:v>1875.25</c:v>
                </c:pt>
                <c:pt idx="205">
                  <c:v>1875</c:v>
                </c:pt>
                <c:pt idx="206">
                  <c:v>1885.75</c:v>
                </c:pt>
                <c:pt idx="207">
                  <c:v>1897</c:v>
                </c:pt>
                <c:pt idx="208">
                  <c:v>1897</c:v>
                </c:pt>
                <c:pt idx="209">
                  <c:v>1897</c:v>
                </c:pt>
                <c:pt idx="210">
                  <c:v>1894</c:v>
                </c:pt>
                <c:pt idx="211">
                  <c:v>1907</c:v>
                </c:pt>
                <c:pt idx="212">
                  <c:v>1917.5</c:v>
                </c:pt>
                <c:pt idx="213">
                  <c:v>1920</c:v>
                </c:pt>
                <c:pt idx="214">
                  <c:v>1938</c:v>
                </c:pt>
                <c:pt idx="215">
                  <c:v>1938</c:v>
                </c:pt>
                <c:pt idx="216">
                  <c:v>1938</c:v>
                </c:pt>
                <c:pt idx="217">
                  <c:v>1950.75</c:v>
                </c:pt>
                <c:pt idx="218">
                  <c:v>1968</c:v>
                </c:pt>
                <c:pt idx="219">
                  <c:v>1967</c:v>
                </c:pt>
                <c:pt idx="220">
                  <c:v>1966.5</c:v>
                </c:pt>
                <c:pt idx="221">
                  <c:v>1955</c:v>
                </c:pt>
                <c:pt idx="222">
                  <c:v>1955</c:v>
                </c:pt>
                <c:pt idx="223">
                  <c:v>1955</c:v>
                </c:pt>
                <c:pt idx="224">
                  <c:v>1936</c:v>
                </c:pt>
                <c:pt idx="225">
                  <c:v>1932.25</c:v>
                </c:pt>
                <c:pt idx="226">
                  <c:v>1963</c:v>
                </c:pt>
                <c:pt idx="227">
                  <c:v>1940.25</c:v>
                </c:pt>
                <c:pt idx="228">
                  <c:v>1934.25</c:v>
                </c:pt>
                <c:pt idx="229">
                  <c:v>1934.25</c:v>
                </c:pt>
                <c:pt idx="230">
                  <c:v>1934.25</c:v>
                </c:pt>
                <c:pt idx="231">
                  <c:v>1932</c:v>
                </c:pt>
                <c:pt idx="232">
                  <c:v>1927.5</c:v>
                </c:pt>
                <c:pt idx="233">
                  <c:v>1929</c:v>
                </c:pt>
                <c:pt idx="234">
                  <c:v>1917.25</c:v>
                </c:pt>
                <c:pt idx="235">
                  <c:v>1907.5</c:v>
                </c:pt>
                <c:pt idx="236">
                  <c:v>1907.5</c:v>
                </c:pt>
                <c:pt idx="237">
                  <c:v>1907.5</c:v>
                </c:pt>
                <c:pt idx="238">
                  <c:v>1885</c:v>
                </c:pt>
                <c:pt idx="239">
                  <c:v>1876.75</c:v>
                </c:pt>
                <c:pt idx="240">
                  <c:v>1875</c:v>
                </c:pt>
                <c:pt idx="241">
                  <c:v>1866.25</c:v>
                </c:pt>
                <c:pt idx="242">
                  <c:v>1865.75</c:v>
                </c:pt>
                <c:pt idx="243">
                  <c:v>1865.75</c:v>
                </c:pt>
                <c:pt idx="244">
                  <c:v>1865.75</c:v>
                </c:pt>
                <c:pt idx="245">
                  <c:v>1861.25</c:v>
                </c:pt>
                <c:pt idx="246">
                  <c:v>1883.75</c:v>
                </c:pt>
                <c:pt idx="247">
                  <c:v>1872.75</c:v>
                </c:pt>
                <c:pt idx="248">
                  <c:v>1914.75</c:v>
                </c:pt>
                <c:pt idx="249">
                  <c:v>1904.75</c:v>
                </c:pt>
                <c:pt idx="250">
                  <c:v>1904.75</c:v>
                </c:pt>
                <c:pt idx="251">
                  <c:v>1904.75</c:v>
                </c:pt>
                <c:pt idx="252">
                  <c:v>1895.75</c:v>
                </c:pt>
                <c:pt idx="253">
                  <c:v>1884.75</c:v>
                </c:pt>
                <c:pt idx="254">
                  <c:v>1873.25</c:v>
                </c:pt>
                <c:pt idx="255">
                  <c:v>1893.5</c:v>
                </c:pt>
                <c:pt idx="256">
                  <c:v>1871.25</c:v>
                </c:pt>
                <c:pt idx="257">
                  <c:v>1871.25</c:v>
                </c:pt>
                <c:pt idx="258">
                  <c:v>1871.25</c:v>
                </c:pt>
                <c:pt idx="259">
                  <c:v>1906.5</c:v>
                </c:pt>
                <c:pt idx="260">
                  <c:v>1870</c:v>
                </c:pt>
                <c:pt idx="261">
                  <c:v>1859.5</c:v>
                </c:pt>
                <c:pt idx="262">
                  <c:v>1856.75</c:v>
                </c:pt>
                <c:pt idx="263">
                  <c:v>1859.75</c:v>
                </c:pt>
                <c:pt idx="264">
                  <c:v>1859.75</c:v>
                </c:pt>
                <c:pt idx="265">
                  <c:v>1859.75</c:v>
                </c:pt>
                <c:pt idx="266">
                  <c:v>1868.75</c:v>
                </c:pt>
                <c:pt idx="267">
                  <c:v>1865.5</c:v>
                </c:pt>
                <c:pt idx="268">
                  <c:v>1866.5</c:v>
                </c:pt>
                <c:pt idx="269">
                  <c:v>1878.25</c:v>
                </c:pt>
                <c:pt idx="270">
                  <c:v>1887.75</c:v>
                </c:pt>
                <c:pt idx="271">
                  <c:v>1887.75</c:v>
                </c:pt>
                <c:pt idx="272">
                  <c:v>1887.75</c:v>
                </c:pt>
                <c:pt idx="273">
                  <c:v>1863.75</c:v>
                </c:pt>
                <c:pt idx="274">
                  <c:v>1868.75</c:v>
                </c:pt>
                <c:pt idx="275">
                  <c:v>1904</c:v>
                </c:pt>
                <c:pt idx="276">
                  <c:v>1903.75</c:v>
                </c:pt>
                <c:pt idx="277">
                  <c:v>1903.25</c:v>
                </c:pt>
                <c:pt idx="278">
                  <c:v>1903.25</c:v>
                </c:pt>
                <c:pt idx="279">
                  <c:v>1903.25</c:v>
                </c:pt>
                <c:pt idx="280">
                  <c:v>1933.75</c:v>
                </c:pt>
                <c:pt idx="281">
                  <c:v>1956.75</c:v>
                </c:pt>
                <c:pt idx="282">
                  <c:v>1982.5</c:v>
                </c:pt>
                <c:pt idx="283">
                  <c:v>1987.5</c:v>
                </c:pt>
                <c:pt idx="284">
                  <c:v>1987.5</c:v>
                </c:pt>
                <c:pt idx="285">
                  <c:v>1987.5</c:v>
                </c:pt>
                <c:pt idx="286">
                  <c:v>1987.5</c:v>
                </c:pt>
                <c:pt idx="287">
                  <c:v>1974.5</c:v>
                </c:pt>
                <c:pt idx="288">
                  <c:v>1968.25</c:v>
                </c:pt>
                <c:pt idx="289">
                  <c:v>1989</c:v>
                </c:pt>
                <c:pt idx="290">
                  <c:v>1975</c:v>
                </c:pt>
                <c:pt idx="291">
                  <c:v>1994.75</c:v>
                </c:pt>
                <c:pt idx="292">
                  <c:v>1994.75</c:v>
                </c:pt>
              </c:numCache>
            </c:numRef>
          </c:val>
        </c:ser>
        <c:marker val="1"/>
        <c:axId val="122356096"/>
        <c:axId val="122358784"/>
      </c:lineChart>
      <c:dateAx>
        <c:axId val="122346496"/>
        <c:scaling>
          <c:orientation val="minMax"/>
        </c:scaling>
        <c:axPos val="b"/>
        <c:numFmt formatCode="yy/m" sourceLinked="0"/>
        <c:tickLblPos val="nextTo"/>
        <c:txPr>
          <a:bodyPr rot="-2700000"/>
          <a:lstStyle/>
          <a:p>
            <a:pPr>
              <a:defRPr sz="800"/>
            </a:pPr>
            <a:endParaRPr lang="zh-CN"/>
          </a:p>
        </c:txPr>
        <c:crossAx val="122352384"/>
        <c:crosses val="autoZero"/>
        <c:auto val="1"/>
        <c:lblOffset val="100"/>
        <c:majorUnit val="1"/>
      </c:dateAx>
      <c:valAx>
        <c:axId val="122352384"/>
        <c:scaling>
          <c:orientation val="minMax"/>
          <c:max val="1400000"/>
          <c:min val="650000"/>
        </c:scaling>
        <c:axPos val="l"/>
        <c:majorGridlines/>
        <c:numFmt formatCode="#,##0_ " sourceLinked="0"/>
        <c:tickLblPos val="nextTo"/>
        <c:txPr>
          <a:bodyPr/>
          <a:lstStyle/>
          <a:p>
            <a:pPr>
              <a:defRPr sz="800"/>
            </a:pPr>
            <a:endParaRPr lang="zh-CN"/>
          </a:p>
        </c:txPr>
        <c:crossAx val="122346496"/>
        <c:crosses val="autoZero"/>
        <c:crossBetween val="between"/>
      </c:valAx>
      <c:dateAx>
        <c:axId val="122356096"/>
        <c:scaling>
          <c:orientation val="minMax"/>
        </c:scaling>
        <c:delete val="1"/>
        <c:axPos val="b"/>
        <c:numFmt formatCode="yyyy/m/d" sourceLinked="1"/>
        <c:tickLblPos val="none"/>
        <c:crossAx val="122358784"/>
        <c:crosses val="autoZero"/>
        <c:auto val="1"/>
        <c:lblOffset val="100"/>
      </c:dateAx>
      <c:valAx>
        <c:axId val="122358784"/>
        <c:scaling>
          <c:orientation val="minMax"/>
          <c:max val="2200"/>
          <c:min val="1800"/>
        </c:scaling>
        <c:axPos val="r"/>
        <c:numFmt formatCode="#,##0_ " sourceLinked="0"/>
        <c:tickLblPos val="nextTo"/>
        <c:txPr>
          <a:bodyPr/>
          <a:lstStyle/>
          <a:p>
            <a:pPr>
              <a:defRPr sz="800"/>
            </a:pPr>
            <a:endParaRPr lang="zh-CN"/>
          </a:p>
        </c:txPr>
        <c:crossAx val="122356096"/>
        <c:crosses val="max"/>
        <c:crossBetween val="between"/>
      </c:valAx>
    </c:plotArea>
    <c:legend>
      <c:legendPos val="r"/>
      <c:layout>
        <c:manualLayout>
          <c:xMode val="edge"/>
          <c:yMode val="edge"/>
          <c:x val="8.2247128579679737E-2"/>
          <c:y val="6.3320952805427594E-3"/>
          <c:w val="0.79670212532625539"/>
          <c:h val="9.7433764175704429E-2"/>
        </c:manualLayout>
      </c:layout>
      <c:txPr>
        <a:bodyPr/>
        <a:lstStyle/>
        <a:p>
          <a:pPr>
            <a:defRPr sz="800"/>
          </a:pPr>
          <a:endParaRPr lang="zh-CN"/>
        </a:p>
      </c:txPr>
    </c:legend>
    <c:plotVisOnly val="1"/>
    <c:dispBlanksAs val="zero"/>
  </c:chart>
  <c:spPr>
    <a:solidFill>
      <a:schemeClr val="bg1"/>
    </a:solidFill>
    <a:ln>
      <a:noFill/>
    </a:ln>
  </c:spPr>
  <c:txPr>
    <a:bodyPr/>
    <a:lstStyle/>
    <a:p>
      <a:pPr>
        <a:defRPr sz="900"/>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4432174103237094"/>
          <c:y val="0.15477759619670794"/>
          <c:w val="0.72448753098063257"/>
          <c:h val="0.66802159164066799"/>
        </c:manualLayout>
      </c:layout>
      <c:areaChart>
        <c:grouping val="stacked"/>
        <c:ser>
          <c:idx val="0"/>
          <c:order val="0"/>
          <c:tx>
            <c:strRef>
              <c:f>金属库存及仓单工作区!$U$2</c:f>
              <c:strCache>
                <c:ptCount val="1"/>
                <c:pt idx="0">
                  <c:v>伦敦锌库存</c:v>
                </c:pt>
              </c:strCache>
            </c:strRef>
          </c:tx>
          <c:cat>
            <c:numRef>
              <c:f>金属库存及仓单工作区!$K$4:$K$296</c:f>
              <c:numCache>
                <c:formatCode>yyyy/m/d</c:formatCode>
                <c:ptCount val="293"/>
                <c:pt idx="0">
                  <c:v>41789</c:v>
                </c:pt>
                <c:pt idx="1">
                  <c:v>41788</c:v>
                </c:pt>
                <c:pt idx="2">
                  <c:v>41787</c:v>
                </c:pt>
                <c:pt idx="3">
                  <c:v>41786</c:v>
                </c:pt>
                <c:pt idx="4">
                  <c:v>41785</c:v>
                </c:pt>
                <c:pt idx="5">
                  <c:v>41784</c:v>
                </c:pt>
                <c:pt idx="6">
                  <c:v>41783</c:v>
                </c:pt>
                <c:pt idx="7">
                  <c:v>41782</c:v>
                </c:pt>
                <c:pt idx="8">
                  <c:v>41781</c:v>
                </c:pt>
                <c:pt idx="9">
                  <c:v>41780</c:v>
                </c:pt>
                <c:pt idx="10">
                  <c:v>41779</c:v>
                </c:pt>
                <c:pt idx="11">
                  <c:v>41778</c:v>
                </c:pt>
                <c:pt idx="12">
                  <c:v>41777</c:v>
                </c:pt>
                <c:pt idx="13">
                  <c:v>41776</c:v>
                </c:pt>
                <c:pt idx="14">
                  <c:v>41775</c:v>
                </c:pt>
                <c:pt idx="15">
                  <c:v>41774</c:v>
                </c:pt>
                <c:pt idx="16">
                  <c:v>41773</c:v>
                </c:pt>
                <c:pt idx="17">
                  <c:v>41772</c:v>
                </c:pt>
                <c:pt idx="18">
                  <c:v>41771</c:v>
                </c:pt>
                <c:pt idx="19">
                  <c:v>41770</c:v>
                </c:pt>
                <c:pt idx="20">
                  <c:v>41769</c:v>
                </c:pt>
                <c:pt idx="21">
                  <c:v>41768</c:v>
                </c:pt>
                <c:pt idx="22">
                  <c:v>41767</c:v>
                </c:pt>
                <c:pt idx="23">
                  <c:v>41766</c:v>
                </c:pt>
                <c:pt idx="24">
                  <c:v>41765</c:v>
                </c:pt>
                <c:pt idx="25">
                  <c:v>41764</c:v>
                </c:pt>
                <c:pt idx="26">
                  <c:v>41763</c:v>
                </c:pt>
                <c:pt idx="27">
                  <c:v>41762</c:v>
                </c:pt>
                <c:pt idx="28">
                  <c:v>41761</c:v>
                </c:pt>
                <c:pt idx="29">
                  <c:v>41760</c:v>
                </c:pt>
                <c:pt idx="30">
                  <c:v>41759</c:v>
                </c:pt>
                <c:pt idx="31">
                  <c:v>41758</c:v>
                </c:pt>
                <c:pt idx="32">
                  <c:v>41757</c:v>
                </c:pt>
                <c:pt idx="33">
                  <c:v>41756</c:v>
                </c:pt>
                <c:pt idx="34">
                  <c:v>41755</c:v>
                </c:pt>
                <c:pt idx="35">
                  <c:v>41754</c:v>
                </c:pt>
                <c:pt idx="36">
                  <c:v>41753</c:v>
                </c:pt>
                <c:pt idx="37">
                  <c:v>41752</c:v>
                </c:pt>
                <c:pt idx="38">
                  <c:v>41751</c:v>
                </c:pt>
                <c:pt idx="39">
                  <c:v>41750</c:v>
                </c:pt>
                <c:pt idx="40">
                  <c:v>41749</c:v>
                </c:pt>
                <c:pt idx="41">
                  <c:v>41748</c:v>
                </c:pt>
                <c:pt idx="42">
                  <c:v>41747</c:v>
                </c:pt>
                <c:pt idx="43">
                  <c:v>41746</c:v>
                </c:pt>
                <c:pt idx="44">
                  <c:v>41745</c:v>
                </c:pt>
                <c:pt idx="45">
                  <c:v>41744</c:v>
                </c:pt>
                <c:pt idx="46">
                  <c:v>41743</c:v>
                </c:pt>
                <c:pt idx="47">
                  <c:v>41742</c:v>
                </c:pt>
                <c:pt idx="48">
                  <c:v>41741</c:v>
                </c:pt>
                <c:pt idx="49">
                  <c:v>41740</c:v>
                </c:pt>
                <c:pt idx="50">
                  <c:v>41739</c:v>
                </c:pt>
                <c:pt idx="51">
                  <c:v>41738</c:v>
                </c:pt>
                <c:pt idx="52">
                  <c:v>41737</c:v>
                </c:pt>
                <c:pt idx="53">
                  <c:v>41736</c:v>
                </c:pt>
                <c:pt idx="54">
                  <c:v>41735</c:v>
                </c:pt>
                <c:pt idx="55">
                  <c:v>41734</c:v>
                </c:pt>
                <c:pt idx="56">
                  <c:v>41733</c:v>
                </c:pt>
                <c:pt idx="57">
                  <c:v>41732</c:v>
                </c:pt>
                <c:pt idx="58">
                  <c:v>41731</c:v>
                </c:pt>
                <c:pt idx="59">
                  <c:v>41730</c:v>
                </c:pt>
                <c:pt idx="60">
                  <c:v>41729</c:v>
                </c:pt>
                <c:pt idx="61">
                  <c:v>41728</c:v>
                </c:pt>
                <c:pt idx="62">
                  <c:v>41727</c:v>
                </c:pt>
                <c:pt idx="63">
                  <c:v>41726</c:v>
                </c:pt>
                <c:pt idx="64">
                  <c:v>41725</c:v>
                </c:pt>
                <c:pt idx="65">
                  <c:v>41724</c:v>
                </c:pt>
                <c:pt idx="66">
                  <c:v>41723</c:v>
                </c:pt>
                <c:pt idx="67">
                  <c:v>41722</c:v>
                </c:pt>
                <c:pt idx="68">
                  <c:v>41721</c:v>
                </c:pt>
                <c:pt idx="69">
                  <c:v>41720</c:v>
                </c:pt>
                <c:pt idx="70">
                  <c:v>41719</c:v>
                </c:pt>
                <c:pt idx="71">
                  <c:v>41718</c:v>
                </c:pt>
                <c:pt idx="72">
                  <c:v>41717</c:v>
                </c:pt>
                <c:pt idx="73">
                  <c:v>41716</c:v>
                </c:pt>
                <c:pt idx="74">
                  <c:v>41715</c:v>
                </c:pt>
                <c:pt idx="75">
                  <c:v>41714</c:v>
                </c:pt>
                <c:pt idx="76">
                  <c:v>41713</c:v>
                </c:pt>
                <c:pt idx="77">
                  <c:v>41712</c:v>
                </c:pt>
                <c:pt idx="78">
                  <c:v>41711</c:v>
                </c:pt>
                <c:pt idx="79">
                  <c:v>41710</c:v>
                </c:pt>
                <c:pt idx="80">
                  <c:v>41709</c:v>
                </c:pt>
                <c:pt idx="81">
                  <c:v>41708</c:v>
                </c:pt>
                <c:pt idx="82">
                  <c:v>41707</c:v>
                </c:pt>
                <c:pt idx="83">
                  <c:v>41706</c:v>
                </c:pt>
                <c:pt idx="84">
                  <c:v>41705</c:v>
                </c:pt>
                <c:pt idx="85">
                  <c:v>41704</c:v>
                </c:pt>
                <c:pt idx="86">
                  <c:v>41703</c:v>
                </c:pt>
                <c:pt idx="87">
                  <c:v>41702</c:v>
                </c:pt>
                <c:pt idx="88">
                  <c:v>41701</c:v>
                </c:pt>
                <c:pt idx="89">
                  <c:v>41700</c:v>
                </c:pt>
                <c:pt idx="90">
                  <c:v>41699</c:v>
                </c:pt>
                <c:pt idx="91">
                  <c:v>41698</c:v>
                </c:pt>
                <c:pt idx="92">
                  <c:v>41697</c:v>
                </c:pt>
                <c:pt idx="93">
                  <c:v>41696</c:v>
                </c:pt>
                <c:pt idx="94">
                  <c:v>41695</c:v>
                </c:pt>
                <c:pt idx="95">
                  <c:v>41694</c:v>
                </c:pt>
                <c:pt idx="96">
                  <c:v>41693</c:v>
                </c:pt>
                <c:pt idx="97">
                  <c:v>41692</c:v>
                </c:pt>
                <c:pt idx="98">
                  <c:v>41691</c:v>
                </c:pt>
                <c:pt idx="99">
                  <c:v>41690</c:v>
                </c:pt>
                <c:pt idx="100">
                  <c:v>41689</c:v>
                </c:pt>
                <c:pt idx="101">
                  <c:v>41688</c:v>
                </c:pt>
                <c:pt idx="102">
                  <c:v>41687</c:v>
                </c:pt>
                <c:pt idx="103">
                  <c:v>41686</c:v>
                </c:pt>
                <c:pt idx="104">
                  <c:v>41685</c:v>
                </c:pt>
                <c:pt idx="105">
                  <c:v>41684</c:v>
                </c:pt>
                <c:pt idx="106">
                  <c:v>41683</c:v>
                </c:pt>
                <c:pt idx="107">
                  <c:v>41682</c:v>
                </c:pt>
                <c:pt idx="108">
                  <c:v>41681</c:v>
                </c:pt>
                <c:pt idx="109">
                  <c:v>41680</c:v>
                </c:pt>
                <c:pt idx="110">
                  <c:v>41679</c:v>
                </c:pt>
                <c:pt idx="111">
                  <c:v>41678</c:v>
                </c:pt>
                <c:pt idx="112">
                  <c:v>41677</c:v>
                </c:pt>
                <c:pt idx="113">
                  <c:v>41676</c:v>
                </c:pt>
                <c:pt idx="114">
                  <c:v>41675</c:v>
                </c:pt>
                <c:pt idx="115">
                  <c:v>41674</c:v>
                </c:pt>
                <c:pt idx="116">
                  <c:v>41673</c:v>
                </c:pt>
                <c:pt idx="117">
                  <c:v>41672</c:v>
                </c:pt>
                <c:pt idx="118">
                  <c:v>41671</c:v>
                </c:pt>
                <c:pt idx="119">
                  <c:v>41670</c:v>
                </c:pt>
                <c:pt idx="120">
                  <c:v>41669</c:v>
                </c:pt>
                <c:pt idx="121">
                  <c:v>41668</c:v>
                </c:pt>
                <c:pt idx="122">
                  <c:v>41667</c:v>
                </c:pt>
                <c:pt idx="123">
                  <c:v>41666</c:v>
                </c:pt>
                <c:pt idx="124">
                  <c:v>41665</c:v>
                </c:pt>
                <c:pt idx="125">
                  <c:v>41664</c:v>
                </c:pt>
                <c:pt idx="126">
                  <c:v>41663</c:v>
                </c:pt>
                <c:pt idx="127">
                  <c:v>41662</c:v>
                </c:pt>
                <c:pt idx="128">
                  <c:v>41661</c:v>
                </c:pt>
                <c:pt idx="129">
                  <c:v>41660</c:v>
                </c:pt>
                <c:pt idx="130">
                  <c:v>41659</c:v>
                </c:pt>
                <c:pt idx="131">
                  <c:v>41658</c:v>
                </c:pt>
                <c:pt idx="132">
                  <c:v>41657</c:v>
                </c:pt>
                <c:pt idx="133">
                  <c:v>41656</c:v>
                </c:pt>
                <c:pt idx="134">
                  <c:v>41655</c:v>
                </c:pt>
                <c:pt idx="135">
                  <c:v>41654</c:v>
                </c:pt>
                <c:pt idx="136">
                  <c:v>41653</c:v>
                </c:pt>
                <c:pt idx="137">
                  <c:v>41652</c:v>
                </c:pt>
                <c:pt idx="138">
                  <c:v>41651</c:v>
                </c:pt>
                <c:pt idx="139">
                  <c:v>41650</c:v>
                </c:pt>
                <c:pt idx="140">
                  <c:v>41649</c:v>
                </c:pt>
                <c:pt idx="141">
                  <c:v>41648</c:v>
                </c:pt>
                <c:pt idx="142">
                  <c:v>41647</c:v>
                </c:pt>
                <c:pt idx="143">
                  <c:v>41646</c:v>
                </c:pt>
                <c:pt idx="144">
                  <c:v>41645</c:v>
                </c:pt>
                <c:pt idx="145">
                  <c:v>41644</c:v>
                </c:pt>
                <c:pt idx="146">
                  <c:v>41643</c:v>
                </c:pt>
                <c:pt idx="147">
                  <c:v>41642</c:v>
                </c:pt>
                <c:pt idx="148">
                  <c:v>41641</c:v>
                </c:pt>
                <c:pt idx="149">
                  <c:v>41640</c:v>
                </c:pt>
                <c:pt idx="150">
                  <c:v>41639</c:v>
                </c:pt>
                <c:pt idx="151">
                  <c:v>41638</c:v>
                </c:pt>
                <c:pt idx="152">
                  <c:v>41637</c:v>
                </c:pt>
                <c:pt idx="153">
                  <c:v>41636</c:v>
                </c:pt>
                <c:pt idx="154">
                  <c:v>41635</c:v>
                </c:pt>
                <c:pt idx="155">
                  <c:v>41634</c:v>
                </c:pt>
                <c:pt idx="156">
                  <c:v>41633</c:v>
                </c:pt>
                <c:pt idx="157">
                  <c:v>41632</c:v>
                </c:pt>
                <c:pt idx="158">
                  <c:v>41631</c:v>
                </c:pt>
                <c:pt idx="159">
                  <c:v>41630</c:v>
                </c:pt>
                <c:pt idx="160">
                  <c:v>41629</c:v>
                </c:pt>
                <c:pt idx="161">
                  <c:v>41628</c:v>
                </c:pt>
                <c:pt idx="162">
                  <c:v>41627</c:v>
                </c:pt>
                <c:pt idx="163">
                  <c:v>41626</c:v>
                </c:pt>
                <c:pt idx="164">
                  <c:v>41625</c:v>
                </c:pt>
                <c:pt idx="165">
                  <c:v>41624</c:v>
                </c:pt>
                <c:pt idx="166">
                  <c:v>41623</c:v>
                </c:pt>
                <c:pt idx="167">
                  <c:v>41622</c:v>
                </c:pt>
                <c:pt idx="168">
                  <c:v>41621</c:v>
                </c:pt>
                <c:pt idx="169">
                  <c:v>41620</c:v>
                </c:pt>
                <c:pt idx="170">
                  <c:v>41619</c:v>
                </c:pt>
                <c:pt idx="171">
                  <c:v>41618</c:v>
                </c:pt>
                <c:pt idx="172">
                  <c:v>41617</c:v>
                </c:pt>
                <c:pt idx="173">
                  <c:v>41616</c:v>
                </c:pt>
                <c:pt idx="174">
                  <c:v>41615</c:v>
                </c:pt>
                <c:pt idx="175">
                  <c:v>41614</c:v>
                </c:pt>
                <c:pt idx="176">
                  <c:v>41613</c:v>
                </c:pt>
                <c:pt idx="177">
                  <c:v>41612</c:v>
                </c:pt>
                <c:pt idx="178">
                  <c:v>41611</c:v>
                </c:pt>
                <c:pt idx="179">
                  <c:v>41610</c:v>
                </c:pt>
                <c:pt idx="180">
                  <c:v>41609</c:v>
                </c:pt>
                <c:pt idx="181">
                  <c:v>41608</c:v>
                </c:pt>
                <c:pt idx="182">
                  <c:v>41607</c:v>
                </c:pt>
                <c:pt idx="183">
                  <c:v>41606</c:v>
                </c:pt>
                <c:pt idx="184">
                  <c:v>41605</c:v>
                </c:pt>
                <c:pt idx="185">
                  <c:v>41604</c:v>
                </c:pt>
                <c:pt idx="186">
                  <c:v>41603</c:v>
                </c:pt>
                <c:pt idx="187">
                  <c:v>41602</c:v>
                </c:pt>
                <c:pt idx="188">
                  <c:v>41601</c:v>
                </c:pt>
                <c:pt idx="189">
                  <c:v>41600</c:v>
                </c:pt>
                <c:pt idx="190">
                  <c:v>41599</c:v>
                </c:pt>
                <c:pt idx="191">
                  <c:v>41598</c:v>
                </c:pt>
                <c:pt idx="192">
                  <c:v>41597</c:v>
                </c:pt>
                <c:pt idx="193">
                  <c:v>41596</c:v>
                </c:pt>
                <c:pt idx="194">
                  <c:v>41595</c:v>
                </c:pt>
                <c:pt idx="195">
                  <c:v>41594</c:v>
                </c:pt>
                <c:pt idx="196">
                  <c:v>41593</c:v>
                </c:pt>
                <c:pt idx="197">
                  <c:v>41592</c:v>
                </c:pt>
                <c:pt idx="198">
                  <c:v>41591</c:v>
                </c:pt>
                <c:pt idx="199">
                  <c:v>41590</c:v>
                </c:pt>
                <c:pt idx="200">
                  <c:v>41589</c:v>
                </c:pt>
                <c:pt idx="201">
                  <c:v>41588</c:v>
                </c:pt>
                <c:pt idx="202">
                  <c:v>41587</c:v>
                </c:pt>
                <c:pt idx="203">
                  <c:v>41586</c:v>
                </c:pt>
                <c:pt idx="204">
                  <c:v>41585</c:v>
                </c:pt>
                <c:pt idx="205">
                  <c:v>41584</c:v>
                </c:pt>
                <c:pt idx="206">
                  <c:v>41583</c:v>
                </c:pt>
                <c:pt idx="207">
                  <c:v>41582</c:v>
                </c:pt>
                <c:pt idx="208">
                  <c:v>41581</c:v>
                </c:pt>
                <c:pt idx="209">
                  <c:v>41580</c:v>
                </c:pt>
                <c:pt idx="210">
                  <c:v>41579</c:v>
                </c:pt>
                <c:pt idx="211">
                  <c:v>41578</c:v>
                </c:pt>
                <c:pt idx="212">
                  <c:v>41577</c:v>
                </c:pt>
                <c:pt idx="213">
                  <c:v>41576</c:v>
                </c:pt>
                <c:pt idx="214">
                  <c:v>41575</c:v>
                </c:pt>
                <c:pt idx="215">
                  <c:v>41574</c:v>
                </c:pt>
                <c:pt idx="216">
                  <c:v>41573</c:v>
                </c:pt>
                <c:pt idx="217">
                  <c:v>41572</c:v>
                </c:pt>
                <c:pt idx="218">
                  <c:v>41571</c:v>
                </c:pt>
                <c:pt idx="219">
                  <c:v>41570</c:v>
                </c:pt>
                <c:pt idx="220">
                  <c:v>41569</c:v>
                </c:pt>
                <c:pt idx="221">
                  <c:v>41568</c:v>
                </c:pt>
                <c:pt idx="222">
                  <c:v>41567</c:v>
                </c:pt>
                <c:pt idx="223">
                  <c:v>41566</c:v>
                </c:pt>
                <c:pt idx="224">
                  <c:v>41565</c:v>
                </c:pt>
                <c:pt idx="225">
                  <c:v>41564</c:v>
                </c:pt>
                <c:pt idx="226">
                  <c:v>41563</c:v>
                </c:pt>
                <c:pt idx="227">
                  <c:v>41562</c:v>
                </c:pt>
                <c:pt idx="228">
                  <c:v>41561</c:v>
                </c:pt>
                <c:pt idx="229">
                  <c:v>41560</c:v>
                </c:pt>
                <c:pt idx="230">
                  <c:v>41559</c:v>
                </c:pt>
                <c:pt idx="231">
                  <c:v>41558</c:v>
                </c:pt>
                <c:pt idx="232">
                  <c:v>41557</c:v>
                </c:pt>
                <c:pt idx="233">
                  <c:v>41556</c:v>
                </c:pt>
                <c:pt idx="234">
                  <c:v>41555</c:v>
                </c:pt>
                <c:pt idx="235">
                  <c:v>41554</c:v>
                </c:pt>
                <c:pt idx="236">
                  <c:v>41553</c:v>
                </c:pt>
                <c:pt idx="237">
                  <c:v>41552</c:v>
                </c:pt>
                <c:pt idx="238">
                  <c:v>41551</c:v>
                </c:pt>
                <c:pt idx="239">
                  <c:v>41550</c:v>
                </c:pt>
                <c:pt idx="240">
                  <c:v>41549</c:v>
                </c:pt>
                <c:pt idx="241">
                  <c:v>41548</c:v>
                </c:pt>
                <c:pt idx="242">
                  <c:v>41547</c:v>
                </c:pt>
                <c:pt idx="243">
                  <c:v>41546</c:v>
                </c:pt>
                <c:pt idx="244">
                  <c:v>41545</c:v>
                </c:pt>
                <c:pt idx="245">
                  <c:v>41544</c:v>
                </c:pt>
                <c:pt idx="246">
                  <c:v>41543</c:v>
                </c:pt>
                <c:pt idx="247">
                  <c:v>41542</c:v>
                </c:pt>
                <c:pt idx="248">
                  <c:v>41541</c:v>
                </c:pt>
                <c:pt idx="249">
                  <c:v>41540</c:v>
                </c:pt>
                <c:pt idx="250">
                  <c:v>41539</c:v>
                </c:pt>
                <c:pt idx="251">
                  <c:v>41538</c:v>
                </c:pt>
                <c:pt idx="252">
                  <c:v>41537</c:v>
                </c:pt>
                <c:pt idx="253">
                  <c:v>41536</c:v>
                </c:pt>
                <c:pt idx="254">
                  <c:v>41535</c:v>
                </c:pt>
                <c:pt idx="255">
                  <c:v>41534</c:v>
                </c:pt>
                <c:pt idx="256">
                  <c:v>41533</c:v>
                </c:pt>
                <c:pt idx="257">
                  <c:v>41532</c:v>
                </c:pt>
                <c:pt idx="258">
                  <c:v>41531</c:v>
                </c:pt>
                <c:pt idx="259">
                  <c:v>41530</c:v>
                </c:pt>
                <c:pt idx="260">
                  <c:v>41529</c:v>
                </c:pt>
                <c:pt idx="261">
                  <c:v>41528</c:v>
                </c:pt>
                <c:pt idx="262">
                  <c:v>41527</c:v>
                </c:pt>
                <c:pt idx="263">
                  <c:v>41526</c:v>
                </c:pt>
                <c:pt idx="264">
                  <c:v>41525</c:v>
                </c:pt>
                <c:pt idx="265">
                  <c:v>41524</c:v>
                </c:pt>
                <c:pt idx="266">
                  <c:v>41523</c:v>
                </c:pt>
                <c:pt idx="267">
                  <c:v>41522</c:v>
                </c:pt>
                <c:pt idx="268">
                  <c:v>41521</c:v>
                </c:pt>
                <c:pt idx="269">
                  <c:v>41520</c:v>
                </c:pt>
                <c:pt idx="270">
                  <c:v>41519</c:v>
                </c:pt>
                <c:pt idx="271">
                  <c:v>41518</c:v>
                </c:pt>
                <c:pt idx="272">
                  <c:v>41517</c:v>
                </c:pt>
                <c:pt idx="273">
                  <c:v>41516</c:v>
                </c:pt>
                <c:pt idx="274">
                  <c:v>41515</c:v>
                </c:pt>
                <c:pt idx="275">
                  <c:v>41514</c:v>
                </c:pt>
                <c:pt idx="276">
                  <c:v>41513</c:v>
                </c:pt>
                <c:pt idx="277">
                  <c:v>41512</c:v>
                </c:pt>
                <c:pt idx="278">
                  <c:v>41511</c:v>
                </c:pt>
                <c:pt idx="279">
                  <c:v>41510</c:v>
                </c:pt>
                <c:pt idx="280">
                  <c:v>41509</c:v>
                </c:pt>
                <c:pt idx="281">
                  <c:v>41508</c:v>
                </c:pt>
                <c:pt idx="282">
                  <c:v>41507</c:v>
                </c:pt>
                <c:pt idx="283">
                  <c:v>41506</c:v>
                </c:pt>
                <c:pt idx="284">
                  <c:v>41505</c:v>
                </c:pt>
                <c:pt idx="285">
                  <c:v>41504</c:v>
                </c:pt>
                <c:pt idx="286">
                  <c:v>41503</c:v>
                </c:pt>
                <c:pt idx="287">
                  <c:v>41502</c:v>
                </c:pt>
                <c:pt idx="288">
                  <c:v>41501</c:v>
                </c:pt>
                <c:pt idx="289">
                  <c:v>41500</c:v>
                </c:pt>
                <c:pt idx="290">
                  <c:v>41499</c:v>
                </c:pt>
                <c:pt idx="291">
                  <c:v>41498</c:v>
                </c:pt>
                <c:pt idx="292">
                  <c:v>41497</c:v>
                </c:pt>
              </c:numCache>
            </c:numRef>
          </c:cat>
          <c:val>
            <c:numRef>
              <c:f>金属库存及仓单工作区!$U$4:$U$296</c:f>
              <c:numCache>
                <c:formatCode>0_);[Red]\(0\)</c:formatCode>
                <c:ptCount val="293"/>
                <c:pt idx="0">
                  <c:v>711900</c:v>
                </c:pt>
                <c:pt idx="1">
                  <c:v>719600</c:v>
                </c:pt>
                <c:pt idx="2">
                  <c:v>720675</c:v>
                </c:pt>
                <c:pt idx="3">
                  <c:v>724925</c:v>
                </c:pt>
                <c:pt idx="4">
                  <c:v>728425</c:v>
                </c:pt>
                <c:pt idx="5">
                  <c:v>728425</c:v>
                </c:pt>
                <c:pt idx="6">
                  <c:v>728425</c:v>
                </c:pt>
                <c:pt idx="7">
                  <c:v>728425</c:v>
                </c:pt>
                <c:pt idx="8">
                  <c:v>734350</c:v>
                </c:pt>
                <c:pt idx="9">
                  <c:v>739650</c:v>
                </c:pt>
                <c:pt idx="10">
                  <c:v>743450</c:v>
                </c:pt>
                <c:pt idx="11">
                  <c:v>750475</c:v>
                </c:pt>
                <c:pt idx="12">
                  <c:v>751650</c:v>
                </c:pt>
                <c:pt idx="13">
                  <c:v>751650</c:v>
                </c:pt>
                <c:pt idx="14">
                  <c:v>751650</c:v>
                </c:pt>
                <c:pt idx="15">
                  <c:v>753975</c:v>
                </c:pt>
                <c:pt idx="16">
                  <c:v>755325</c:v>
                </c:pt>
                <c:pt idx="17">
                  <c:v>757975</c:v>
                </c:pt>
                <c:pt idx="18">
                  <c:v>760125</c:v>
                </c:pt>
                <c:pt idx="19">
                  <c:v>761175</c:v>
                </c:pt>
                <c:pt idx="20">
                  <c:v>761175</c:v>
                </c:pt>
                <c:pt idx="21">
                  <c:v>761175</c:v>
                </c:pt>
                <c:pt idx="22">
                  <c:v>762500</c:v>
                </c:pt>
                <c:pt idx="23">
                  <c:v>763750</c:v>
                </c:pt>
                <c:pt idx="24">
                  <c:v>766250</c:v>
                </c:pt>
                <c:pt idx="25">
                  <c:v>767800</c:v>
                </c:pt>
                <c:pt idx="26">
                  <c:v>767800</c:v>
                </c:pt>
                <c:pt idx="27">
                  <c:v>767800</c:v>
                </c:pt>
                <c:pt idx="28">
                  <c:v>767800</c:v>
                </c:pt>
                <c:pt idx="29">
                  <c:v>771475</c:v>
                </c:pt>
                <c:pt idx="30">
                  <c:v>777000</c:v>
                </c:pt>
                <c:pt idx="31">
                  <c:v>780350</c:v>
                </c:pt>
                <c:pt idx="32">
                  <c:v>783550</c:v>
                </c:pt>
                <c:pt idx="33">
                  <c:v>786475</c:v>
                </c:pt>
                <c:pt idx="34">
                  <c:v>786475</c:v>
                </c:pt>
                <c:pt idx="35">
                  <c:v>786475</c:v>
                </c:pt>
                <c:pt idx="36">
                  <c:v>789575</c:v>
                </c:pt>
                <c:pt idx="37">
                  <c:v>792025</c:v>
                </c:pt>
                <c:pt idx="38">
                  <c:v>798400</c:v>
                </c:pt>
                <c:pt idx="39">
                  <c:v>801500</c:v>
                </c:pt>
                <c:pt idx="40">
                  <c:v>801500</c:v>
                </c:pt>
                <c:pt idx="41">
                  <c:v>801500</c:v>
                </c:pt>
                <c:pt idx="42">
                  <c:v>801500</c:v>
                </c:pt>
                <c:pt idx="43">
                  <c:v>801500</c:v>
                </c:pt>
                <c:pt idx="44">
                  <c:v>804650</c:v>
                </c:pt>
                <c:pt idx="45">
                  <c:v>807975</c:v>
                </c:pt>
                <c:pt idx="46">
                  <c:v>811225</c:v>
                </c:pt>
                <c:pt idx="47">
                  <c:v>814525</c:v>
                </c:pt>
                <c:pt idx="48">
                  <c:v>814525</c:v>
                </c:pt>
                <c:pt idx="49">
                  <c:v>814525</c:v>
                </c:pt>
                <c:pt idx="50">
                  <c:v>817900</c:v>
                </c:pt>
                <c:pt idx="51">
                  <c:v>821050</c:v>
                </c:pt>
                <c:pt idx="52">
                  <c:v>824325</c:v>
                </c:pt>
                <c:pt idx="53">
                  <c:v>827375</c:v>
                </c:pt>
                <c:pt idx="54">
                  <c:v>831700</c:v>
                </c:pt>
                <c:pt idx="55">
                  <c:v>831700</c:v>
                </c:pt>
                <c:pt idx="56">
                  <c:v>831700</c:v>
                </c:pt>
                <c:pt idx="57">
                  <c:v>834700</c:v>
                </c:pt>
                <c:pt idx="58">
                  <c:v>839075</c:v>
                </c:pt>
                <c:pt idx="59">
                  <c:v>833575</c:v>
                </c:pt>
                <c:pt idx="60">
                  <c:v>779600</c:v>
                </c:pt>
                <c:pt idx="61">
                  <c:v>777575</c:v>
                </c:pt>
                <c:pt idx="62">
                  <c:v>777575</c:v>
                </c:pt>
                <c:pt idx="63">
                  <c:v>777575</c:v>
                </c:pt>
                <c:pt idx="64">
                  <c:v>775825</c:v>
                </c:pt>
                <c:pt idx="65">
                  <c:v>774000</c:v>
                </c:pt>
                <c:pt idx="66">
                  <c:v>772450</c:v>
                </c:pt>
                <c:pt idx="67">
                  <c:v>776400</c:v>
                </c:pt>
                <c:pt idx="68">
                  <c:v>780075</c:v>
                </c:pt>
                <c:pt idx="69">
                  <c:v>780075</c:v>
                </c:pt>
                <c:pt idx="70">
                  <c:v>780075</c:v>
                </c:pt>
                <c:pt idx="71">
                  <c:v>785350</c:v>
                </c:pt>
                <c:pt idx="72">
                  <c:v>788900</c:v>
                </c:pt>
                <c:pt idx="73">
                  <c:v>790925</c:v>
                </c:pt>
                <c:pt idx="74">
                  <c:v>794400</c:v>
                </c:pt>
                <c:pt idx="75">
                  <c:v>797900</c:v>
                </c:pt>
                <c:pt idx="76">
                  <c:v>797900</c:v>
                </c:pt>
                <c:pt idx="77">
                  <c:v>797900</c:v>
                </c:pt>
                <c:pt idx="78">
                  <c:v>796700</c:v>
                </c:pt>
                <c:pt idx="79">
                  <c:v>800150</c:v>
                </c:pt>
                <c:pt idx="80">
                  <c:v>798825</c:v>
                </c:pt>
                <c:pt idx="81">
                  <c:v>792375</c:v>
                </c:pt>
                <c:pt idx="82">
                  <c:v>776000</c:v>
                </c:pt>
                <c:pt idx="83">
                  <c:v>776000</c:v>
                </c:pt>
                <c:pt idx="84">
                  <c:v>776000</c:v>
                </c:pt>
                <c:pt idx="85">
                  <c:v>760125</c:v>
                </c:pt>
                <c:pt idx="86">
                  <c:v>751975</c:v>
                </c:pt>
                <c:pt idx="87">
                  <c:v>753700</c:v>
                </c:pt>
                <c:pt idx="88">
                  <c:v>757950</c:v>
                </c:pt>
                <c:pt idx="89">
                  <c:v>761725</c:v>
                </c:pt>
                <c:pt idx="90">
                  <c:v>761725</c:v>
                </c:pt>
                <c:pt idx="91">
                  <c:v>761725</c:v>
                </c:pt>
                <c:pt idx="92">
                  <c:v>765850</c:v>
                </c:pt>
                <c:pt idx="93">
                  <c:v>769300</c:v>
                </c:pt>
                <c:pt idx="94">
                  <c:v>774250</c:v>
                </c:pt>
                <c:pt idx="95">
                  <c:v>779050</c:v>
                </c:pt>
                <c:pt idx="96">
                  <c:v>783900</c:v>
                </c:pt>
                <c:pt idx="97">
                  <c:v>783900</c:v>
                </c:pt>
                <c:pt idx="98">
                  <c:v>783900</c:v>
                </c:pt>
                <c:pt idx="99">
                  <c:v>788875</c:v>
                </c:pt>
                <c:pt idx="100">
                  <c:v>795050</c:v>
                </c:pt>
                <c:pt idx="101">
                  <c:v>798575</c:v>
                </c:pt>
                <c:pt idx="102">
                  <c:v>799800</c:v>
                </c:pt>
                <c:pt idx="103">
                  <c:v>803375</c:v>
                </c:pt>
                <c:pt idx="104">
                  <c:v>803375</c:v>
                </c:pt>
                <c:pt idx="105">
                  <c:v>803375</c:v>
                </c:pt>
                <c:pt idx="106">
                  <c:v>807525</c:v>
                </c:pt>
                <c:pt idx="107">
                  <c:v>812600</c:v>
                </c:pt>
                <c:pt idx="108">
                  <c:v>817725</c:v>
                </c:pt>
                <c:pt idx="109">
                  <c:v>823125</c:v>
                </c:pt>
                <c:pt idx="110">
                  <c:v>828575</c:v>
                </c:pt>
                <c:pt idx="111">
                  <c:v>828575</c:v>
                </c:pt>
                <c:pt idx="112">
                  <c:v>828575</c:v>
                </c:pt>
                <c:pt idx="113">
                  <c:v>833725</c:v>
                </c:pt>
                <c:pt idx="114">
                  <c:v>839175</c:v>
                </c:pt>
                <c:pt idx="115">
                  <c:v>845425</c:v>
                </c:pt>
                <c:pt idx="116">
                  <c:v>850100</c:v>
                </c:pt>
                <c:pt idx="117">
                  <c:v>854450</c:v>
                </c:pt>
                <c:pt idx="118">
                  <c:v>854450</c:v>
                </c:pt>
                <c:pt idx="119">
                  <c:v>854450</c:v>
                </c:pt>
                <c:pt idx="120">
                  <c:v>856450</c:v>
                </c:pt>
                <c:pt idx="121">
                  <c:v>859675</c:v>
                </c:pt>
                <c:pt idx="122">
                  <c:v>864275</c:v>
                </c:pt>
                <c:pt idx="123">
                  <c:v>869075</c:v>
                </c:pt>
                <c:pt idx="124">
                  <c:v>873825</c:v>
                </c:pt>
                <c:pt idx="125">
                  <c:v>873825</c:v>
                </c:pt>
                <c:pt idx="126">
                  <c:v>873825</c:v>
                </c:pt>
                <c:pt idx="127">
                  <c:v>870925</c:v>
                </c:pt>
                <c:pt idx="128">
                  <c:v>875150</c:v>
                </c:pt>
                <c:pt idx="129">
                  <c:v>876650</c:v>
                </c:pt>
                <c:pt idx="130">
                  <c:v>879750</c:v>
                </c:pt>
                <c:pt idx="131">
                  <c:v>883950</c:v>
                </c:pt>
                <c:pt idx="132">
                  <c:v>883950</c:v>
                </c:pt>
                <c:pt idx="133">
                  <c:v>883950</c:v>
                </c:pt>
                <c:pt idx="134">
                  <c:v>888050</c:v>
                </c:pt>
                <c:pt idx="135">
                  <c:v>892300</c:v>
                </c:pt>
                <c:pt idx="136">
                  <c:v>896725</c:v>
                </c:pt>
                <c:pt idx="137">
                  <c:v>901300</c:v>
                </c:pt>
                <c:pt idx="138">
                  <c:v>905575</c:v>
                </c:pt>
                <c:pt idx="139">
                  <c:v>905575</c:v>
                </c:pt>
                <c:pt idx="140">
                  <c:v>905575</c:v>
                </c:pt>
                <c:pt idx="141">
                  <c:v>910025</c:v>
                </c:pt>
                <c:pt idx="142">
                  <c:v>914225</c:v>
                </c:pt>
                <c:pt idx="143">
                  <c:v>918325</c:v>
                </c:pt>
                <c:pt idx="144">
                  <c:v>922850</c:v>
                </c:pt>
                <c:pt idx="145">
                  <c:v>927225</c:v>
                </c:pt>
                <c:pt idx="146">
                  <c:v>927225</c:v>
                </c:pt>
                <c:pt idx="147">
                  <c:v>927225</c:v>
                </c:pt>
                <c:pt idx="148">
                  <c:v>931175</c:v>
                </c:pt>
                <c:pt idx="149">
                  <c:v>933475</c:v>
                </c:pt>
                <c:pt idx="150">
                  <c:v>933475</c:v>
                </c:pt>
                <c:pt idx="151">
                  <c:v>888600</c:v>
                </c:pt>
                <c:pt idx="152">
                  <c:v>894425</c:v>
                </c:pt>
                <c:pt idx="153">
                  <c:v>894425</c:v>
                </c:pt>
                <c:pt idx="154">
                  <c:v>894425</c:v>
                </c:pt>
                <c:pt idx="155">
                  <c:v>885600</c:v>
                </c:pt>
                <c:pt idx="156">
                  <c:v>885600</c:v>
                </c:pt>
                <c:pt idx="157">
                  <c:v>885600</c:v>
                </c:pt>
                <c:pt idx="158">
                  <c:v>890625</c:v>
                </c:pt>
                <c:pt idx="159">
                  <c:v>894825</c:v>
                </c:pt>
                <c:pt idx="160">
                  <c:v>894825</c:v>
                </c:pt>
                <c:pt idx="161">
                  <c:v>894825</c:v>
                </c:pt>
                <c:pt idx="162">
                  <c:v>900100</c:v>
                </c:pt>
                <c:pt idx="163">
                  <c:v>904925</c:v>
                </c:pt>
                <c:pt idx="164">
                  <c:v>909400</c:v>
                </c:pt>
                <c:pt idx="165">
                  <c:v>913925</c:v>
                </c:pt>
                <c:pt idx="166">
                  <c:v>918475</c:v>
                </c:pt>
                <c:pt idx="167">
                  <c:v>918475</c:v>
                </c:pt>
                <c:pt idx="168">
                  <c:v>918475</c:v>
                </c:pt>
                <c:pt idx="169">
                  <c:v>923125</c:v>
                </c:pt>
                <c:pt idx="170">
                  <c:v>927750</c:v>
                </c:pt>
                <c:pt idx="171">
                  <c:v>932425</c:v>
                </c:pt>
                <c:pt idx="172">
                  <c:v>937150</c:v>
                </c:pt>
                <c:pt idx="173">
                  <c:v>941850</c:v>
                </c:pt>
                <c:pt idx="174">
                  <c:v>941850</c:v>
                </c:pt>
                <c:pt idx="175">
                  <c:v>941850</c:v>
                </c:pt>
                <c:pt idx="176">
                  <c:v>946425</c:v>
                </c:pt>
                <c:pt idx="177">
                  <c:v>951000</c:v>
                </c:pt>
                <c:pt idx="178">
                  <c:v>955575</c:v>
                </c:pt>
                <c:pt idx="179">
                  <c:v>960250</c:v>
                </c:pt>
                <c:pt idx="180">
                  <c:v>962250</c:v>
                </c:pt>
                <c:pt idx="181">
                  <c:v>962250</c:v>
                </c:pt>
                <c:pt idx="182">
                  <c:v>962250</c:v>
                </c:pt>
                <c:pt idx="183">
                  <c:v>964450</c:v>
                </c:pt>
                <c:pt idx="184">
                  <c:v>968975</c:v>
                </c:pt>
                <c:pt idx="185">
                  <c:v>971350</c:v>
                </c:pt>
                <c:pt idx="186">
                  <c:v>973350</c:v>
                </c:pt>
                <c:pt idx="187">
                  <c:v>977900</c:v>
                </c:pt>
                <c:pt idx="188">
                  <c:v>977900</c:v>
                </c:pt>
                <c:pt idx="189">
                  <c:v>977900</c:v>
                </c:pt>
                <c:pt idx="190">
                  <c:v>982475</c:v>
                </c:pt>
                <c:pt idx="191">
                  <c:v>987050</c:v>
                </c:pt>
                <c:pt idx="192">
                  <c:v>991600</c:v>
                </c:pt>
                <c:pt idx="193">
                  <c:v>996550</c:v>
                </c:pt>
                <c:pt idx="194">
                  <c:v>998200</c:v>
                </c:pt>
                <c:pt idx="195">
                  <c:v>998200</c:v>
                </c:pt>
                <c:pt idx="196">
                  <c:v>998200</c:v>
                </c:pt>
                <c:pt idx="197">
                  <c:v>1002725</c:v>
                </c:pt>
                <c:pt idx="198">
                  <c:v>1007700</c:v>
                </c:pt>
                <c:pt idx="199">
                  <c:v>1011325</c:v>
                </c:pt>
                <c:pt idx="200">
                  <c:v>1012575</c:v>
                </c:pt>
                <c:pt idx="201">
                  <c:v>1015425</c:v>
                </c:pt>
                <c:pt idx="202">
                  <c:v>1015425</c:v>
                </c:pt>
                <c:pt idx="203">
                  <c:v>1015425</c:v>
                </c:pt>
                <c:pt idx="204">
                  <c:v>1017975</c:v>
                </c:pt>
                <c:pt idx="205">
                  <c:v>1020675</c:v>
                </c:pt>
                <c:pt idx="206">
                  <c:v>1023225</c:v>
                </c:pt>
                <c:pt idx="207">
                  <c:v>1026650</c:v>
                </c:pt>
                <c:pt idx="208">
                  <c:v>1027375</c:v>
                </c:pt>
                <c:pt idx="209">
                  <c:v>1027375</c:v>
                </c:pt>
                <c:pt idx="210">
                  <c:v>1027375</c:v>
                </c:pt>
                <c:pt idx="211">
                  <c:v>1030125</c:v>
                </c:pt>
                <c:pt idx="212">
                  <c:v>1035650</c:v>
                </c:pt>
                <c:pt idx="213">
                  <c:v>1035575</c:v>
                </c:pt>
                <c:pt idx="214">
                  <c:v>1037775</c:v>
                </c:pt>
                <c:pt idx="215">
                  <c:v>1040475</c:v>
                </c:pt>
                <c:pt idx="216">
                  <c:v>1040475</c:v>
                </c:pt>
                <c:pt idx="217">
                  <c:v>1040475</c:v>
                </c:pt>
                <c:pt idx="218">
                  <c:v>1043000</c:v>
                </c:pt>
                <c:pt idx="219">
                  <c:v>1045700</c:v>
                </c:pt>
                <c:pt idx="220">
                  <c:v>1050750</c:v>
                </c:pt>
                <c:pt idx="221">
                  <c:v>1055775</c:v>
                </c:pt>
                <c:pt idx="222">
                  <c:v>1061025</c:v>
                </c:pt>
                <c:pt idx="223">
                  <c:v>1061025</c:v>
                </c:pt>
                <c:pt idx="224">
                  <c:v>1061025</c:v>
                </c:pt>
                <c:pt idx="225">
                  <c:v>1065850</c:v>
                </c:pt>
                <c:pt idx="226">
                  <c:v>1060475</c:v>
                </c:pt>
                <c:pt idx="227">
                  <c:v>986900</c:v>
                </c:pt>
                <c:pt idx="228">
                  <c:v>990225</c:v>
                </c:pt>
                <c:pt idx="229">
                  <c:v>993450</c:v>
                </c:pt>
                <c:pt idx="230">
                  <c:v>993450</c:v>
                </c:pt>
                <c:pt idx="231">
                  <c:v>993450</c:v>
                </c:pt>
                <c:pt idx="232">
                  <c:v>997900</c:v>
                </c:pt>
                <c:pt idx="233">
                  <c:v>1002725</c:v>
                </c:pt>
                <c:pt idx="234">
                  <c:v>1006000</c:v>
                </c:pt>
                <c:pt idx="235">
                  <c:v>1009075</c:v>
                </c:pt>
                <c:pt idx="236">
                  <c:v>1013025</c:v>
                </c:pt>
                <c:pt idx="237">
                  <c:v>1013025</c:v>
                </c:pt>
                <c:pt idx="238">
                  <c:v>1013025</c:v>
                </c:pt>
                <c:pt idx="239">
                  <c:v>1014675</c:v>
                </c:pt>
                <c:pt idx="240">
                  <c:v>1019475</c:v>
                </c:pt>
                <c:pt idx="241">
                  <c:v>1024025</c:v>
                </c:pt>
                <c:pt idx="242">
                  <c:v>966425</c:v>
                </c:pt>
                <c:pt idx="243">
                  <c:v>969050</c:v>
                </c:pt>
                <c:pt idx="244">
                  <c:v>969050</c:v>
                </c:pt>
                <c:pt idx="245">
                  <c:v>969050</c:v>
                </c:pt>
                <c:pt idx="246">
                  <c:v>972100</c:v>
                </c:pt>
                <c:pt idx="247">
                  <c:v>975100</c:v>
                </c:pt>
                <c:pt idx="248">
                  <c:v>974100</c:v>
                </c:pt>
                <c:pt idx="249">
                  <c:v>977100</c:v>
                </c:pt>
                <c:pt idx="250">
                  <c:v>978850</c:v>
                </c:pt>
                <c:pt idx="251">
                  <c:v>978850</c:v>
                </c:pt>
                <c:pt idx="252">
                  <c:v>978850</c:v>
                </c:pt>
                <c:pt idx="253">
                  <c:v>981475</c:v>
                </c:pt>
                <c:pt idx="254">
                  <c:v>981000</c:v>
                </c:pt>
                <c:pt idx="255">
                  <c:v>977100</c:v>
                </c:pt>
                <c:pt idx="256">
                  <c:v>980100</c:v>
                </c:pt>
                <c:pt idx="257">
                  <c:v>983075</c:v>
                </c:pt>
                <c:pt idx="258">
                  <c:v>983075</c:v>
                </c:pt>
                <c:pt idx="259">
                  <c:v>983075</c:v>
                </c:pt>
                <c:pt idx="260">
                  <c:v>985575</c:v>
                </c:pt>
                <c:pt idx="261">
                  <c:v>985350</c:v>
                </c:pt>
                <c:pt idx="262">
                  <c:v>985525</c:v>
                </c:pt>
                <c:pt idx="263">
                  <c:v>985375</c:v>
                </c:pt>
                <c:pt idx="264">
                  <c:v>984475</c:v>
                </c:pt>
                <c:pt idx="265">
                  <c:v>984475</c:v>
                </c:pt>
                <c:pt idx="266">
                  <c:v>984475</c:v>
                </c:pt>
                <c:pt idx="267">
                  <c:v>988350</c:v>
                </c:pt>
                <c:pt idx="268">
                  <c:v>992600</c:v>
                </c:pt>
                <c:pt idx="269">
                  <c:v>997600</c:v>
                </c:pt>
                <c:pt idx="270">
                  <c:v>1000200</c:v>
                </c:pt>
                <c:pt idx="271">
                  <c:v>1005325</c:v>
                </c:pt>
                <c:pt idx="272">
                  <c:v>1005325</c:v>
                </c:pt>
                <c:pt idx="273">
                  <c:v>1005325</c:v>
                </c:pt>
                <c:pt idx="274">
                  <c:v>1010400</c:v>
                </c:pt>
                <c:pt idx="275">
                  <c:v>1014825</c:v>
                </c:pt>
                <c:pt idx="276">
                  <c:v>1024850</c:v>
                </c:pt>
                <c:pt idx="277">
                  <c:v>1023575</c:v>
                </c:pt>
                <c:pt idx="278">
                  <c:v>1023575</c:v>
                </c:pt>
                <c:pt idx="279">
                  <c:v>1023575</c:v>
                </c:pt>
                <c:pt idx="280">
                  <c:v>1023575</c:v>
                </c:pt>
                <c:pt idx="281">
                  <c:v>1026100</c:v>
                </c:pt>
                <c:pt idx="282">
                  <c:v>1028625</c:v>
                </c:pt>
                <c:pt idx="283">
                  <c:v>1032175</c:v>
                </c:pt>
                <c:pt idx="284">
                  <c:v>1034700</c:v>
                </c:pt>
                <c:pt idx="285">
                  <c:v>1037275</c:v>
                </c:pt>
                <c:pt idx="286">
                  <c:v>1037275</c:v>
                </c:pt>
                <c:pt idx="287">
                  <c:v>1037275</c:v>
                </c:pt>
                <c:pt idx="288">
                  <c:v>1039875</c:v>
                </c:pt>
                <c:pt idx="289">
                  <c:v>1042525</c:v>
                </c:pt>
                <c:pt idx="290">
                  <c:v>1045125</c:v>
                </c:pt>
                <c:pt idx="291">
                  <c:v>1048800</c:v>
                </c:pt>
                <c:pt idx="292">
                  <c:v>1047875</c:v>
                </c:pt>
              </c:numCache>
            </c:numRef>
          </c:val>
        </c:ser>
        <c:axId val="231566720"/>
        <c:axId val="231676544"/>
      </c:areaChart>
      <c:lineChart>
        <c:grouping val="standard"/>
        <c:ser>
          <c:idx val="3"/>
          <c:order val="1"/>
          <c:tx>
            <c:strRef>
              <c:f>金属库存及仓单工作区!$AK$2</c:f>
              <c:strCache>
                <c:ptCount val="1"/>
                <c:pt idx="0">
                  <c:v>伦锌注销仓单占比</c:v>
                </c:pt>
              </c:strCache>
            </c:strRef>
          </c:tx>
          <c:spPr>
            <a:ln>
              <a:solidFill>
                <a:srgbClr val="993300"/>
              </a:solidFill>
            </a:ln>
          </c:spPr>
          <c:marker>
            <c:symbol val="none"/>
          </c:marker>
          <c:cat>
            <c:numRef>
              <c:f>金属库存及仓单工作区!$K$4:$K$296</c:f>
              <c:numCache>
                <c:formatCode>yyyy/m/d</c:formatCode>
                <c:ptCount val="293"/>
                <c:pt idx="0">
                  <c:v>41789</c:v>
                </c:pt>
                <c:pt idx="1">
                  <c:v>41788</c:v>
                </c:pt>
                <c:pt idx="2">
                  <c:v>41787</c:v>
                </c:pt>
                <c:pt idx="3">
                  <c:v>41786</c:v>
                </c:pt>
                <c:pt idx="4">
                  <c:v>41785</c:v>
                </c:pt>
                <c:pt idx="5">
                  <c:v>41784</c:v>
                </c:pt>
                <c:pt idx="6">
                  <c:v>41783</c:v>
                </c:pt>
                <c:pt idx="7">
                  <c:v>41782</c:v>
                </c:pt>
                <c:pt idx="8">
                  <c:v>41781</c:v>
                </c:pt>
                <c:pt idx="9">
                  <c:v>41780</c:v>
                </c:pt>
                <c:pt idx="10">
                  <c:v>41779</c:v>
                </c:pt>
                <c:pt idx="11">
                  <c:v>41778</c:v>
                </c:pt>
                <c:pt idx="12">
                  <c:v>41777</c:v>
                </c:pt>
                <c:pt idx="13">
                  <c:v>41776</c:v>
                </c:pt>
                <c:pt idx="14">
                  <c:v>41775</c:v>
                </c:pt>
                <c:pt idx="15">
                  <c:v>41774</c:v>
                </c:pt>
                <c:pt idx="16">
                  <c:v>41773</c:v>
                </c:pt>
                <c:pt idx="17">
                  <c:v>41772</c:v>
                </c:pt>
                <c:pt idx="18">
                  <c:v>41771</c:v>
                </c:pt>
                <c:pt idx="19">
                  <c:v>41770</c:v>
                </c:pt>
                <c:pt idx="20">
                  <c:v>41769</c:v>
                </c:pt>
                <c:pt idx="21">
                  <c:v>41768</c:v>
                </c:pt>
                <c:pt idx="22">
                  <c:v>41767</c:v>
                </c:pt>
                <c:pt idx="23">
                  <c:v>41766</c:v>
                </c:pt>
                <c:pt idx="24">
                  <c:v>41765</c:v>
                </c:pt>
                <c:pt idx="25">
                  <c:v>41764</c:v>
                </c:pt>
                <c:pt idx="26">
                  <c:v>41763</c:v>
                </c:pt>
                <c:pt idx="27">
                  <c:v>41762</c:v>
                </c:pt>
                <c:pt idx="28">
                  <c:v>41761</c:v>
                </c:pt>
                <c:pt idx="29">
                  <c:v>41760</c:v>
                </c:pt>
                <c:pt idx="30">
                  <c:v>41759</c:v>
                </c:pt>
                <c:pt idx="31">
                  <c:v>41758</c:v>
                </c:pt>
                <c:pt idx="32">
                  <c:v>41757</c:v>
                </c:pt>
                <c:pt idx="33">
                  <c:v>41756</c:v>
                </c:pt>
                <c:pt idx="34">
                  <c:v>41755</c:v>
                </c:pt>
                <c:pt idx="35">
                  <c:v>41754</c:v>
                </c:pt>
                <c:pt idx="36">
                  <c:v>41753</c:v>
                </c:pt>
                <c:pt idx="37">
                  <c:v>41752</c:v>
                </c:pt>
                <c:pt idx="38">
                  <c:v>41751</c:v>
                </c:pt>
                <c:pt idx="39">
                  <c:v>41750</c:v>
                </c:pt>
                <c:pt idx="40">
                  <c:v>41749</c:v>
                </c:pt>
                <c:pt idx="41">
                  <c:v>41748</c:v>
                </c:pt>
                <c:pt idx="42">
                  <c:v>41747</c:v>
                </c:pt>
                <c:pt idx="43">
                  <c:v>41746</c:v>
                </c:pt>
                <c:pt idx="44">
                  <c:v>41745</c:v>
                </c:pt>
                <c:pt idx="45">
                  <c:v>41744</c:v>
                </c:pt>
                <c:pt idx="46">
                  <c:v>41743</c:v>
                </c:pt>
                <c:pt idx="47">
                  <c:v>41742</c:v>
                </c:pt>
                <c:pt idx="48">
                  <c:v>41741</c:v>
                </c:pt>
                <c:pt idx="49">
                  <c:v>41740</c:v>
                </c:pt>
                <c:pt idx="50">
                  <c:v>41739</c:v>
                </c:pt>
                <c:pt idx="51">
                  <c:v>41738</c:v>
                </c:pt>
                <c:pt idx="52">
                  <c:v>41737</c:v>
                </c:pt>
                <c:pt idx="53">
                  <c:v>41736</c:v>
                </c:pt>
                <c:pt idx="54">
                  <c:v>41735</c:v>
                </c:pt>
                <c:pt idx="55">
                  <c:v>41734</c:v>
                </c:pt>
                <c:pt idx="56">
                  <c:v>41733</c:v>
                </c:pt>
                <c:pt idx="57">
                  <c:v>41732</c:v>
                </c:pt>
                <c:pt idx="58">
                  <c:v>41731</c:v>
                </c:pt>
                <c:pt idx="59">
                  <c:v>41730</c:v>
                </c:pt>
                <c:pt idx="60">
                  <c:v>41729</c:v>
                </c:pt>
                <c:pt idx="61">
                  <c:v>41728</c:v>
                </c:pt>
                <c:pt idx="62">
                  <c:v>41727</c:v>
                </c:pt>
                <c:pt idx="63">
                  <c:v>41726</c:v>
                </c:pt>
                <c:pt idx="64">
                  <c:v>41725</c:v>
                </c:pt>
                <c:pt idx="65">
                  <c:v>41724</c:v>
                </c:pt>
                <c:pt idx="66">
                  <c:v>41723</c:v>
                </c:pt>
                <c:pt idx="67">
                  <c:v>41722</c:v>
                </c:pt>
                <c:pt idx="68">
                  <c:v>41721</c:v>
                </c:pt>
                <c:pt idx="69">
                  <c:v>41720</c:v>
                </c:pt>
                <c:pt idx="70">
                  <c:v>41719</c:v>
                </c:pt>
                <c:pt idx="71">
                  <c:v>41718</c:v>
                </c:pt>
                <c:pt idx="72">
                  <c:v>41717</c:v>
                </c:pt>
                <c:pt idx="73">
                  <c:v>41716</c:v>
                </c:pt>
                <c:pt idx="74">
                  <c:v>41715</c:v>
                </c:pt>
                <c:pt idx="75">
                  <c:v>41714</c:v>
                </c:pt>
                <c:pt idx="76">
                  <c:v>41713</c:v>
                </c:pt>
                <c:pt idx="77">
                  <c:v>41712</c:v>
                </c:pt>
                <c:pt idx="78">
                  <c:v>41711</c:v>
                </c:pt>
                <c:pt idx="79">
                  <c:v>41710</c:v>
                </c:pt>
                <c:pt idx="80">
                  <c:v>41709</c:v>
                </c:pt>
                <c:pt idx="81">
                  <c:v>41708</c:v>
                </c:pt>
                <c:pt idx="82">
                  <c:v>41707</c:v>
                </c:pt>
                <c:pt idx="83">
                  <c:v>41706</c:v>
                </c:pt>
                <c:pt idx="84">
                  <c:v>41705</c:v>
                </c:pt>
                <c:pt idx="85">
                  <c:v>41704</c:v>
                </c:pt>
                <c:pt idx="86">
                  <c:v>41703</c:v>
                </c:pt>
                <c:pt idx="87">
                  <c:v>41702</c:v>
                </c:pt>
                <c:pt idx="88">
                  <c:v>41701</c:v>
                </c:pt>
                <c:pt idx="89">
                  <c:v>41700</c:v>
                </c:pt>
                <c:pt idx="90">
                  <c:v>41699</c:v>
                </c:pt>
                <c:pt idx="91">
                  <c:v>41698</c:v>
                </c:pt>
                <c:pt idx="92">
                  <c:v>41697</c:v>
                </c:pt>
                <c:pt idx="93">
                  <c:v>41696</c:v>
                </c:pt>
                <c:pt idx="94">
                  <c:v>41695</c:v>
                </c:pt>
                <c:pt idx="95">
                  <c:v>41694</c:v>
                </c:pt>
                <c:pt idx="96">
                  <c:v>41693</c:v>
                </c:pt>
                <c:pt idx="97">
                  <c:v>41692</c:v>
                </c:pt>
                <c:pt idx="98">
                  <c:v>41691</c:v>
                </c:pt>
                <c:pt idx="99">
                  <c:v>41690</c:v>
                </c:pt>
                <c:pt idx="100">
                  <c:v>41689</c:v>
                </c:pt>
                <c:pt idx="101">
                  <c:v>41688</c:v>
                </c:pt>
                <c:pt idx="102">
                  <c:v>41687</c:v>
                </c:pt>
                <c:pt idx="103">
                  <c:v>41686</c:v>
                </c:pt>
                <c:pt idx="104">
                  <c:v>41685</c:v>
                </c:pt>
                <c:pt idx="105">
                  <c:v>41684</c:v>
                </c:pt>
                <c:pt idx="106">
                  <c:v>41683</c:v>
                </c:pt>
                <c:pt idx="107">
                  <c:v>41682</c:v>
                </c:pt>
                <c:pt idx="108">
                  <c:v>41681</c:v>
                </c:pt>
                <c:pt idx="109">
                  <c:v>41680</c:v>
                </c:pt>
                <c:pt idx="110">
                  <c:v>41679</c:v>
                </c:pt>
                <c:pt idx="111">
                  <c:v>41678</c:v>
                </c:pt>
                <c:pt idx="112">
                  <c:v>41677</c:v>
                </c:pt>
                <c:pt idx="113">
                  <c:v>41676</c:v>
                </c:pt>
                <c:pt idx="114">
                  <c:v>41675</c:v>
                </c:pt>
                <c:pt idx="115">
                  <c:v>41674</c:v>
                </c:pt>
                <c:pt idx="116">
                  <c:v>41673</c:v>
                </c:pt>
                <c:pt idx="117">
                  <c:v>41672</c:v>
                </c:pt>
                <c:pt idx="118">
                  <c:v>41671</c:v>
                </c:pt>
                <c:pt idx="119">
                  <c:v>41670</c:v>
                </c:pt>
                <c:pt idx="120">
                  <c:v>41669</c:v>
                </c:pt>
                <c:pt idx="121">
                  <c:v>41668</c:v>
                </c:pt>
                <c:pt idx="122">
                  <c:v>41667</c:v>
                </c:pt>
                <c:pt idx="123">
                  <c:v>41666</c:v>
                </c:pt>
                <c:pt idx="124">
                  <c:v>41665</c:v>
                </c:pt>
                <c:pt idx="125">
                  <c:v>41664</c:v>
                </c:pt>
                <c:pt idx="126">
                  <c:v>41663</c:v>
                </c:pt>
                <c:pt idx="127">
                  <c:v>41662</c:v>
                </c:pt>
                <c:pt idx="128">
                  <c:v>41661</c:v>
                </c:pt>
                <c:pt idx="129">
                  <c:v>41660</c:v>
                </c:pt>
                <c:pt idx="130">
                  <c:v>41659</c:v>
                </c:pt>
                <c:pt idx="131">
                  <c:v>41658</c:v>
                </c:pt>
                <c:pt idx="132">
                  <c:v>41657</c:v>
                </c:pt>
                <c:pt idx="133">
                  <c:v>41656</c:v>
                </c:pt>
                <c:pt idx="134">
                  <c:v>41655</c:v>
                </c:pt>
                <c:pt idx="135">
                  <c:v>41654</c:v>
                </c:pt>
                <c:pt idx="136">
                  <c:v>41653</c:v>
                </c:pt>
                <c:pt idx="137">
                  <c:v>41652</c:v>
                </c:pt>
                <c:pt idx="138">
                  <c:v>41651</c:v>
                </c:pt>
                <c:pt idx="139">
                  <c:v>41650</c:v>
                </c:pt>
                <c:pt idx="140">
                  <c:v>41649</c:v>
                </c:pt>
                <c:pt idx="141">
                  <c:v>41648</c:v>
                </c:pt>
                <c:pt idx="142">
                  <c:v>41647</c:v>
                </c:pt>
                <c:pt idx="143">
                  <c:v>41646</c:v>
                </c:pt>
                <c:pt idx="144">
                  <c:v>41645</c:v>
                </c:pt>
                <c:pt idx="145">
                  <c:v>41644</c:v>
                </c:pt>
                <c:pt idx="146">
                  <c:v>41643</c:v>
                </c:pt>
                <c:pt idx="147">
                  <c:v>41642</c:v>
                </c:pt>
                <c:pt idx="148">
                  <c:v>41641</c:v>
                </c:pt>
                <c:pt idx="149">
                  <c:v>41640</c:v>
                </c:pt>
                <c:pt idx="150">
                  <c:v>41639</c:v>
                </c:pt>
                <c:pt idx="151">
                  <c:v>41638</c:v>
                </c:pt>
                <c:pt idx="152">
                  <c:v>41637</c:v>
                </c:pt>
                <c:pt idx="153">
                  <c:v>41636</c:v>
                </c:pt>
                <c:pt idx="154">
                  <c:v>41635</c:v>
                </c:pt>
                <c:pt idx="155">
                  <c:v>41634</c:v>
                </c:pt>
                <c:pt idx="156">
                  <c:v>41633</c:v>
                </c:pt>
                <c:pt idx="157">
                  <c:v>41632</c:v>
                </c:pt>
                <c:pt idx="158">
                  <c:v>41631</c:v>
                </c:pt>
                <c:pt idx="159">
                  <c:v>41630</c:v>
                </c:pt>
                <c:pt idx="160">
                  <c:v>41629</c:v>
                </c:pt>
                <c:pt idx="161">
                  <c:v>41628</c:v>
                </c:pt>
                <c:pt idx="162">
                  <c:v>41627</c:v>
                </c:pt>
                <c:pt idx="163">
                  <c:v>41626</c:v>
                </c:pt>
                <c:pt idx="164">
                  <c:v>41625</c:v>
                </c:pt>
                <c:pt idx="165">
                  <c:v>41624</c:v>
                </c:pt>
                <c:pt idx="166">
                  <c:v>41623</c:v>
                </c:pt>
                <c:pt idx="167">
                  <c:v>41622</c:v>
                </c:pt>
                <c:pt idx="168">
                  <c:v>41621</c:v>
                </c:pt>
                <c:pt idx="169">
                  <c:v>41620</c:v>
                </c:pt>
                <c:pt idx="170">
                  <c:v>41619</c:v>
                </c:pt>
                <c:pt idx="171">
                  <c:v>41618</c:v>
                </c:pt>
                <c:pt idx="172">
                  <c:v>41617</c:v>
                </c:pt>
                <c:pt idx="173">
                  <c:v>41616</c:v>
                </c:pt>
                <c:pt idx="174">
                  <c:v>41615</c:v>
                </c:pt>
                <c:pt idx="175">
                  <c:v>41614</c:v>
                </c:pt>
                <c:pt idx="176">
                  <c:v>41613</c:v>
                </c:pt>
                <c:pt idx="177">
                  <c:v>41612</c:v>
                </c:pt>
                <c:pt idx="178">
                  <c:v>41611</c:v>
                </c:pt>
                <c:pt idx="179">
                  <c:v>41610</c:v>
                </c:pt>
                <c:pt idx="180">
                  <c:v>41609</c:v>
                </c:pt>
                <c:pt idx="181">
                  <c:v>41608</c:v>
                </c:pt>
                <c:pt idx="182">
                  <c:v>41607</c:v>
                </c:pt>
                <c:pt idx="183">
                  <c:v>41606</c:v>
                </c:pt>
                <c:pt idx="184">
                  <c:v>41605</c:v>
                </c:pt>
                <c:pt idx="185">
                  <c:v>41604</c:v>
                </c:pt>
                <c:pt idx="186">
                  <c:v>41603</c:v>
                </c:pt>
                <c:pt idx="187">
                  <c:v>41602</c:v>
                </c:pt>
                <c:pt idx="188">
                  <c:v>41601</c:v>
                </c:pt>
                <c:pt idx="189">
                  <c:v>41600</c:v>
                </c:pt>
                <c:pt idx="190">
                  <c:v>41599</c:v>
                </c:pt>
                <c:pt idx="191">
                  <c:v>41598</c:v>
                </c:pt>
                <c:pt idx="192">
                  <c:v>41597</c:v>
                </c:pt>
                <c:pt idx="193">
                  <c:v>41596</c:v>
                </c:pt>
                <c:pt idx="194">
                  <c:v>41595</c:v>
                </c:pt>
                <c:pt idx="195">
                  <c:v>41594</c:v>
                </c:pt>
                <c:pt idx="196">
                  <c:v>41593</c:v>
                </c:pt>
                <c:pt idx="197">
                  <c:v>41592</c:v>
                </c:pt>
                <c:pt idx="198">
                  <c:v>41591</c:v>
                </c:pt>
                <c:pt idx="199">
                  <c:v>41590</c:v>
                </c:pt>
                <c:pt idx="200">
                  <c:v>41589</c:v>
                </c:pt>
                <c:pt idx="201">
                  <c:v>41588</c:v>
                </c:pt>
                <c:pt idx="202">
                  <c:v>41587</c:v>
                </c:pt>
                <c:pt idx="203">
                  <c:v>41586</c:v>
                </c:pt>
                <c:pt idx="204">
                  <c:v>41585</c:v>
                </c:pt>
                <c:pt idx="205">
                  <c:v>41584</c:v>
                </c:pt>
                <c:pt idx="206">
                  <c:v>41583</c:v>
                </c:pt>
                <c:pt idx="207">
                  <c:v>41582</c:v>
                </c:pt>
                <c:pt idx="208">
                  <c:v>41581</c:v>
                </c:pt>
                <c:pt idx="209">
                  <c:v>41580</c:v>
                </c:pt>
                <c:pt idx="210">
                  <c:v>41579</c:v>
                </c:pt>
                <c:pt idx="211">
                  <c:v>41578</c:v>
                </c:pt>
                <c:pt idx="212">
                  <c:v>41577</c:v>
                </c:pt>
                <c:pt idx="213">
                  <c:v>41576</c:v>
                </c:pt>
                <c:pt idx="214">
                  <c:v>41575</c:v>
                </c:pt>
                <c:pt idx="215">
                  <c:v>41574</c:v>
                </c:pt>
                <c:pt idx="216">
                  <c:v>41573</c:v>
                </c:pt>
                <c:pt idx="217">
                  <c:v>41572</c:v>
                </c:pt>
                <c:pt idx="218">
                  <c:v>41571</c:v>
                </c:pt>
                <c:pt idx="219">
                  <c:v>41570</c:v>
                </c:pt>
                <c:pt idx="220">
                  <c:v>41569</c:v>
                </c:pt>
                <c:pt idx="221">
                  <c:v>41568</c:v>
                </c:pt>
                <c:pt idx="222">
                  <c:v>41567</c:v>
                </c:pt>
                <c:pt idx="223">
                  <c:v>41566</c:v>
                </c:pt>
                <c:pt idx="224">
                  <c:v>41565</c:v>
                </c:pt>
                <c:pt idx="225">
                  <c:v>41564</c:v>
                </c:pt>
                <c:pt idx="226">
                  <c:v>41563</c:v>
                </c:pt>
                <c:pt idx="227">
                  <c:v>41562</c:v>
                </c:pt>
                <c:pt idx="228">
                  <c:v>41561</c:v>
                </c:pt>
                <c:pt idx="229">
                  <c:v>41560</c:v>
                </c:pt>
                <c:pt idx="230">
                  <c:v>41559</c:v>
                </c:pt>
                <c:pt idx="231">
                  <c:v>41558</c:v>
                </c:pt>
                <c:pt idx="232">
                  <c:v>41557</c:v>
                </c:pt>
                <c:pt idx="233">
                  <c:v>41556</c:v>
                </c:pt>
                <c:pt idx="234">
                  <c:v>41555</c:v>
                </c:pt>
                <c:pt idx="235">
                  <c:v>41554</c:v>
                </c:pt>
                <c:pt idx="236">
                  <c:v>41553</c:v>
                </c:pt>
                <c:pt idx="237">
                  <c:v>41552</c:v>
                </c:pt>
                <c:pt idx="238">
                  <c:v>41551</c:v>
                </c:pt>
                <c:pt idx="239">
                  <c:v>41550</c:v>
                </c:pt>
                <c:pt idx="240">
                  <c:v>41549</c:v>
                </c:pt>
                <c:pt idx="241">
                  <c:v>41548</c:v>
                </c:pt>
                <c:pt idx="242">
                  <c:v>41547</c:v>
                </c:pt>
                <c:pt idx="243">
                  <c:v>41546</c:v>
                </c:pt>
                <c:pt idx="244">
                  <c:v>41545</c:v>
                </c:pt>
                <c:pt idx="245">
                  <c:v>41544</c:v>
                </c:pt>
                <c:pt idx="246">
                  <c:v>41543</c:v>
                </c:pt>
                <c:pt idx="247">
                  <c:v>41542</c:v>
                </c:pt>
                <c:pt idx="248">
                  <c:v>41541</c:v>
                </c:pt>
                <c:pt idx="249">
                  <c:v>41540</c:v>
                </c:pt>
                <c:pt idx="250">
                  <c:v>41539</c:v>
                </c:pt>
                <c:pt idx="251">
                  <c:v>41538</c:v>
                </c:pt>
                <c:pt idx="252">
                  <c:v>41537</c:v>
                </c:pt>
                <c:pt idx="253">
                  <c:v>41536</c:v>
                </c:pt>
                <c:pt idx="254">
                  <c:v>41535</c:v>
                </c:pt>
                <c:pt idx="255">
                  <c:v>41534</c:v>
                </c:pt>
                <c:pt idx="256">
                  <c:v>41533</c:v>
                </c:pt>
                <c:pt idx="257">
                  <c:v>41532</c:v>
                </c:pt>
                <c:pt idx="258">
                  <c:v>41531</c:v>
                </c:pt>
                <c:pt idx="259">
                  <c:v>41530</c:v>
                </c:pt>
                <c:pt idx="260">
                  <c:v>41529</c:v>
                </c:pt>
                <c:pt idx="261">
                  <c:v>41528</c:v>
                </c:pt>
                <c:pt idx="262">
                  <c:v>41527</c:v>
                </c:pt>
                <c:pt idx="263">
                  <c:v>41526</c:v>
                </c:pt>
                <c:pt idx="264">
                  <c:v>41525</c:v>
                </c:pt>
                <c:pt idx="265">
                  <c:v>41524</c:v>
                </c:pt>
                <c:pt idx="266">
                  <c:v>41523</c:v>
                </c:pt>
                <c:pt idx="267">
                  <c:v>41522</c:v>
                </c:pt>
                <c:pt idx="268">
                  <c:v>41521</c:v>
                </c:pt>
                <c:pt idx="269">
                  <c:v>41520</c:v>
                </c:pt>
                <c:pt idx="270">
                  <c:v>41519</c:v>
                </c:pt>
                <c:pt idx="271">
                  <c:v>41518</c:v>
                </c:pt>
                <c:pt idx="272">
                  <c:v>41517</c:v>
                </c:pt>
                <c:pt idx="273">
                  <c:v>41516</c:v>
                </c:pt>
                <c:pt idx="274">
                  <c:v>41515</c:v>
                </c:pt>
                <c:pt idx="275">
                  <c:v>41514</c:v>
                </c:pt>
                <c:pt idx="276">
                  <c:v>41513</c:v>
                </c:pt>
                <c:pt idx="277">
                  <c:v>41512</c:v>
                </c:pt>
                <c:pt idx="278">
                  <c:v>41511</c:v>
                </c:pt>
                <c:pt idx="279">
                  <c:v>41510</c:v>
                </c:pt>
                <c:pt idx="280">
                  <c:v>41509</c:v>
                </c:pt>
                <c:pt idx="281">
                  <c:v>41508</c:v>
                </c:pt>
                <c:pt idx="282">
                  <c:v>41507</c:v>
                </c:pt>
                <c:pt idx="283">
                  <c:v>41506</c:v>
                </c:pt>
                <c:pt idx="284">
                  <c:v>41505</c:v>
                </c:pt>
                <c:pt idx="285">
                  <c:v>41504</c:v>
                </c:pt>
                <c:pt idx="286">
                  <c:v>41503</c:v>
                </c:pt>
                <c:pt idx="287">
                  <c:v>41502</c:v>
                </c:pt>
                <c:pt idx="288">
                  <c:v>41501</c:v>
                </c:pt>
                <c:pt idx="289">
                  <c:v>41500</c:v>
                </c:pt>
                <c:pt idx="290">
                  <c:v>41499</c:v>
                </c:pt>
                <c:pt idx="291">
                  <c:v>41498</c:v>
                </c:pt>
                <c:pt idx="292">
                  <c:v>41497</c:v>
                </c:pt>
              </c:numCache>
            </c:numRef>
          </c:cat>
          <c:val>
            <c:numRef>
              <c:f>金属库存及仓单工作区!$AK$4:$AK$296</c:f>
              <c:numCache>
                <c:formatCode>0.00_ </c:formatCode>
                <c:ptCount val="293"/>
                <c:pt idx="0">
                  <c:v>13.460457929484503</c:v>
                </c:pt>
                <c:pt idx="1">
                  <c:v>12.951639799888857</c:v>
                </c:pt>
                <c:pt idx="2">
                  <c:v>13.067610226523756</c:v>
                </c:pt>
                <c:pt idx="3">
                  <c:v>13.556574818084673</c:v>
                </c:pt>
                <c:pt idx="4">
                  <c:v>13.95133335621375</c:v>
                </c:pt>
                <c:pt idx="5">
                  <c:v>13.95133335621375</c:v>
                </c:pt>
                <c:pt idx="6">
                  <c:v>13.95133335621375</c:v>
                </c:pt>
                <c:pt idx="7">
                  <c:v>13.95133335621375</c:v>
                </c:pt>
                <c:pt idx="8">
                  <c:v>14.645604956764505</c:v>
                </c:pt>
                <c:pt idx="9">
                  <c:v>15.230176434800244</c:v>
                </c:pt>
                <c:pt idx="10">
                  <c:v>15.663460891788315</c:v>
                </c:pt>
                <c:pt idx="11">
                  <c:v>16.452913155001827</c:v>
                </c:pt>
                <c:pt idx="12">
                  <c:v>16.583516264218719</c:v>
                </c:pt>
                <c:pt idx="13">
                  <c:v>16.583516264218719</c:v>
                </c:pt>
                <c:pt idx="14">
                  <c:v>16.583516264218719</c:v>
                </c:pt>
                <c:pt idx="15">
                  <c:v>15.88580523226902</c:v>
                </c:pt>
                <c:pt idx="16">
                  <c:v>16.036143381987841</c:v>
                </c:pt>
                <c:pt idx="17">
                  <c:v>16.329694251129602</c:v>
                </c:pt>
                <c:pt idx="18">
                  <c:v>16.56635421805624</c:v>
                </c:pt>
                <c:pt idx="19">
                  <c:v>16.691299635432063</c:v>
                </c:pt>
                <c:pt idx="20">
                  <c:v>16.691299635432063</c:v>
                </c:pt>
                <c:pt idx="21">
                  <c:v>16.691299635432063</c:v>
                </c:pt>
                <c:pt idx="22">
                  <c:v>16.836065573770494</c:v>
                </c:pt>
                <c:pt idx="23">
                  <c:v>16.710310965630114</c:v>
                </c:pt>
                <c:pt idx="24">
                  <c:v>16.903752039151662</c:v>
                </c:pt>
                <c:pt idx="25">
                  <c:v>17.071502995571709</c:v>
                </c:pt>
                <c:pt idx="26">
                  <c:v>17.071502995571709</c:v>
                </c:pt>
                <c:pt idx="27">
                  <c:v>17.071502995571709</c:v>
                </c:pt>
                <c:pt idx="28">
                  <c:v>17.071502995571709</c:v>
                </c:pt>
                <c:pt idx="29">
                  <c:v>17.460060274150113</c:v>
                </c:pt>
                <c:pt idx="30">
                  <c:v>18.046975546975546</c:v>
                </c:pt>
                <c:pt idx="31">
                  <c:v>18.373165887101926</c:v>
                </c:pt>
                <c:pt idx="32">
                  <c:v>18.709718588475489</c:v>
                </c:pt>
                <c:pt idx="33">
                  <c:v>19.012047426809531</c:v>
                </c:pt>
                <c:pt idx="34">
                  <c:v>19.012047426809531</c:v>
                </c:pt>
                <c:pt idx="35">
                  <c:v>19.012047426809531</c:v>
                </c:pt>
                <c:pt idx="36">
                  <c:v>19.10838109109331</c:v>
                </c:pt>
                <c:pt idx="37">
                  <c:v>19.358606104605283</c:v>
                </c:pt>
                <c:pt idx="38">
                  <c:v>19.964929859719426</c:v>
                </c:pt>
                <c:pt idx="39">
                  <c:v>20.274485339987525</c:v>
                </c:pt>
                <c:pt idx="40">
                  <c:v>20.274485339987525</c:v>
                </c:pt>
                <c:pt idx="41">
                  <c:v>20.274485339987525</c:v>
                </c:pt>
                <c:pt idx="42">
                  <c:v>20.274485339987525</c:v>
                </c:pt>
                <c:pt idx="43">
                  <c:v>20.274485339987525</c:v>
                </c:pt>
                <c:pt idx="44">
                  <c:v>20.586590443049772</c:v>
                </c:pt>
                <c:pt idx="45">
                  <c:v>20.913394597605123</c:v>
                </c:pt>
                <c:pt idx="46">
                  <c:v>21.205584147431303</c:v>
                </c:pt>
                <c:pt idx="47">
                  <c:v>21.524815076271448</c:v>
                </c:pt>
                <c:pt idx="48">
                  <c:v>21.524815076271448</c:v>
                </c:pt>
                <c:pt idx="49">
                  <c:v>21.524815076271448</c:v>
                </c:pt>
                <c:pt idx="50">
                  <c:v>21.76305171781393</c:v>
                </c:pt>
                <c:pt idx="51">
                  <c:v>22.023628280859835</c:v>
                </c:pt>
                <c:pt idx="52">
                  <c:v>21.644982258211265</c:v>
                </c:pt>
                <c:pt idx="53">
                  <c:v>20.568061640731177</c:v>
                </c:pt>
                <c:pt idx="54">
                  <c:v>20.620416015390163</c:v>
                </c:pt>
                <c:pt idx="55">
                  <c:v>20.620416015390163</c:v>
                </c:pt>
                <c:pt idx="56">
                  <c:v>20.620416015390163</c:v>
                </c:pt>
                <c:pt idx="57">
                  <c:v>19.135617587157029</c:v>
                </c:pt>
                <c:pt idx="58">
                  <c:v>19.557250543753536</c:v>
                </c:pt>
                <c:pt idx="59">
                  <c:v>20.094172689919922</c:v>
                </c:pt>
                <c:pt idx="60">
                  <c:v>21.847742432016418</c:v>
                </c:pt>
                <c:pt idx="61">
                  <c:v>18.326206475259621</c:v>
                </c:pt>
                <c:pt idx="62">
                  <c:v>18.326206475259621</c:v>
                </c:pt>
                <c:pt idx="63">
                  <c:v>18.326206475259621</c:v>
                </c:pt>
                <c:pt idx="64">
                  <c:v>18.625334321528687</c:v>
                </c:pt>
                <c:pt idx="65">
                  <c:v>18.9179586563308</c:v>
                </c:pt>
                <c:pt idx="66">
                  <c:v>19.402550326881986</c:v>
                </c:pt>
                <c:pt idx="67">
                  <c:v>19.812596599690881</c:v>
                </c:pt>
                <c:pt idx="68">
                  <c:v>20.190366310931626</c:v>
                </c:pt>
                <c:pt idx="69">
                  <c:v>20.190366310931626</c:v>
                </c:pt>
                <c:pt idx="70">
                  <c:v>20.190366310931626</c:v>
                </c:pt>
                <c:pt idx="71">
                  <c:v>20.535430063029189</c:v>
                </c:pt>
                <c:pt idx="72">
                  <c:v>20.893015591329689</c:v>
                </c:pt>
                <c:pt idx="73">
                  <c:v>21.095552675664532</c:v>
                </c:pt>
                <c:pt idx="74">
                  <c:v>21.440709969788486</c:v>
                </c:pt>
                <c:pt idx="75">
                  <c:v>19.090738187742826</c:v>
                </c:pt>
                <c:pt idx="76">
                  <c:v>19.090738187742826</c:v>
                </c:pt>
                <c:pt idx="77">
                  <c:v>19.090738187742826</c:v>
                </c:pt>
                <c:pt idx="78">
                  <c:v>19.596460399146491</c:v>
                </c:pt>
                <c:pt idx="79">
                  <c:v>19.943135662063309</c:v>
                </c:pt>
                <c:pt idx="80">
                  <c:v>20.436265765342888</c:v>
                </c:pt>
                <c:pt idx="81">
                  <c:v>20.892885313140891</c:v>
                </c:pt>
                <c:pt idx="82">
                  <c:v>21.449742268041149</c:v>
                </c:pt>
                <c:pt idx="83">
                  <c:v>21.449742268041149</c:v>
                </c:pt>
                <c:pt idx="84">
                  <c:v>21.449742268041149</c:v>
                </c:pt>
                <c:pt idx="85">
                  <c:v>22.440388094063476</c:v>
                </c:pt>
                <c:pt idx="86">
                  <c:v>23.348515575650787</c:v>
                </c:pt>
                <c:pt idx="87">
                  <c:v>24.157489717394228</c:v>
                </c:pt>
                <c:pt idx="88">
                  <c:v>25.242430239461608</c:v>
                </c:pt>
                <c:pt idx="89">
                  <c:v>25.612918047851931</c:v>
                </c:pt>
                <c:pt idx="90">
                  <c:v>25.612918047851931</c:v>
                </c:pt>
                <c:pt idx="91">
                  <c:v>25.612918047851931</c:v>
                </c:pt>
                <c:pt idx="92">
                  <c:v>26.013579682705487</c:v>
                </c:pt>
                <c:pt idx="93">
                  <c:v>26.325880670739629</c:v>
                </c:pt>
                <c:pt idx="94">
                  <c:v>26.796900226025183</c:v>
                </c:pt>
                <c:pt idx="95">
                  <c:v>26.384699313266129</c:v>
                </c:pt>
                <c:pt idx="96">
                  <c:v>26.84015818344179</c:v>
                </c:pt>
                <c:pt idx="97">
                  <c:v>26.84015818344179</c:v>
                </c:pt>
                <c:pt idx="98">
                  <c:v>26.84015818344179</c:v>
                </c:pt>
                <c:pt idx="99">
                  <c:v>26.753287909998431</c:v>
                </c:pt>
                <c:pt idx="100">
                  <c:v>27.303314256964935</c:v>
                </c:pt>
                <c:pt idx="101">
                  <c:v>27.624205616253995</c:v>
                </c:pt>
                <c:pt idx="102">
                  <c:v>27.735058764691217</c:v>
                </c:pt>
                <c:pt idx="103">
                  <c:v>28.044188579430532</c:v>
                </c:pt>
                <c:pt idx="104">
                  <c:v>28.044188579430532</c:v>
                </c:pt>
                <c:pt idx="105">
                  <c:v>28.044188579430532</c:v>
                </c:pt>
                <c:pt idx="106">
                  <c:v>27.884585616544378</c:v>
                </c:pt>
                <c:pt idx="107">
                  <c:v>28.334974157026899</c:v>
                </c:pt>
                <c:pt idx="108">
                  <c:v>29.095967470726713</c:v>
                </c:pt>
                <c:pt idx="109">
                  <c:v>29.561123766135129</c:v>
                </c:pt>
                <c:pt idx="110">
                  <c:v>30.000301722837431</c:v>
                </c:pt>
                <c:pt idx="111">
                  <c:v>30.000301722837431</c:v>
                </c:pt>
                <c:pt idx="112">
                  <c:v>30.000301722837431</c:v>
                </c:pt>
                <c:pt idx="113">
                  <c:v>30.336741731386226</c:v>
                </c:pt>
                <c:pt idx="114">
                  <c:v>30.72958560490958</c:v>
                </c:pt>
                <c:pt idx="115">
                  <c:v>31.241683177100239</c:v>
                </c:pt>
                <c:pt idx="116">
                  <c:v>31.61980943418423</c:v>
                </c:pt>
                <c:pt idx="117">
                  <c:v>31.967932588214627</c:v>
                </c:pt>
                <c:pt idx="118">
                  <c:v>31.967932588214627</c:v>
                </c:pt>
                <c:pt idx="119">
                  <c:v>31.967932588214627</c:v>
                </c:pt>
                <c:pt idx="120">
                  <c:v>32.027555607449351</c:v>
                </c:pt>
                <c:pt idx="121">
                  <c:v>32.282548637566521</c:v>
                </c:pt>
                <c:pt idx="122">
                  <c:v>32.382632842556013</c:v>
                </c:pt>
                <c:pt idx="123">
                  <c:v>32.761844489831049</c:v>
                </c:pt>
                <c:pt idx="124">
                  <c:v>33.127342431264836</c:v>
                </c:pt>
                <c:pt idx="125">
                  <c:v>33.127342431264836</c:v>
                </c:pt>
                <c:pt idx="126">
                  <c:v>33.127342431264836</c:v>
                </c:pt>
                <c:pt idx="127">
                  <c:v>33.64239170996354</c:v>
                </c:pt>
                <c:pt idx="128">
                  <c:v>33.928469405244719</c:v>
                </c:pt>
                <c:pt idx="129">
                  <c:v>34.041521701933398</c:v>
                </c:pt>
                <c:pt idx="130">
                  <c:v>34.367718101733445</c:v>
                </c:pt>
                <c:pt idx="131">
                  <c:v>40.811131851348939</c:v>
                </c:pt>
                <c:pt idx="132">
                  <c:v>40.811131851348939</c:v>
                </c:pt>
                <c:pt idx="133">
                  <c:v>40.811131851348939</c:v>
                </c:pt>
                <c:pt idx="134">
                  <c:v>41.388435335848207</c:v>
                </c:pt>
                <c:pt idx="135">
                  <c:v>41.813291493891988</c:v>
                </c:pt>
                <c:pt idx="136">
                  <c:v>42.10042097633054</c:v>
                </c:pt>
                <c:pt idx="137">
                  <c:v>42.394319316542813</c:v>
                </c:pt>
                <c:pt idx="138">
                  <c:v>42.489578444634624</c:v>
                </c:pt>
                <c:pt idx="139">
                  <c:v>42.489578444634624</c:v>
                </c:pt>
                <c:pt idx="140">
                  <c:v>42.489578444634624</c:v>
                </c:pt>
                <c:pt idx="141">
                  <c:v>42.770802999917585</c:v>
                </c:pt>
                <c:pt idx="142">
                  <c:v>44.67445103776415</c:v>
                </c:pt>
                <c:pt idx="143">
                  <c:v>44.932349658345345</c:v>
                </c:pt>
                <c:pt idx="144">
                  <c:v>45.473262176951863</c:v>
                </c:pt>
                <c:pt idx="145">
                  <c:v>45.989376904203404</c:v>
                </c:pt>
                <c:pt idx="146">
                  <c:v>45.989376904203404</c:v>
                </c:pt>
                <c:pt idx="147">
                  <c:v>45.989376904203404</c:v>
                </c:pt>
                <c:pt idx="148">
                  <c:v>46.218487394957982</c:v>
                </c:pt>
                <c:pt idx="149">
                  <c:v>46.356356624440934</c:v>
                </c:pt>
                <c:pt idx="150">
                  <c:v>46.356356624440934</c:v>
                </c:pt>
                <c:pt idx="151">
                  <c:v>49.954985370245204</c:v>
                </c:pt>
                <c:pt idx="152">
                  <c:v>50.280906727786004</c:v>
                </c:pt>
                <c:pt idx="153">
                  <c:v>50.280906727786004</c:v>
                </c:pt>
                <c:pt idx="154">
                  <c:v>50.280906727786004</c:v>
                </c:pt>
                <c:pt idx="155">
                  <c:v>51.126355013550246</c:v>
                </c:pt>
                <c:pt idx="156">
                  <c:v>51.126355013550246</c:v>
                </c:pt>
                <c:pt idx="157">
                  <c:v>51.126355013550246</c:v>
                </c:pt>
                <c:pt idx="158">
                  <c:v>52.289122807017542</c:v>
                </c:pt>
                <c:pt idx="159">
                  <c:v>52.624814907942898</c:v>
                </c:pt>
                <c:pt idx="160">
                  <c:v>52.624814907942898</c:v>
                </c:pt>
                <c:pt idx="161">
                  <c:v>52.624814907942898</c:v>
                </c:pt>
                <c:pt idx="162">
                  <c:v>52.902455282746345</c:v>
                </c:pt>
                <c:pt idx="163">
                  <c:v>53.065171146780216</c:v>
                </c:pt>
                <c:pt idx="164">
                  <c:v>53.604024631625244</c:v>
                </c:pt>
                <c:pt idx="165">
                  <c:v>53.833739092376284</c:v>
                </c:pt>
                <c:pt idx="166">
                  <c:v>54.054274748904426</c:v>
                </c:pt>
                <c:pt idx="167">
                  <c:v>54.054274748904426</c:v>
                </c:pt>
                <c:pt idx="168">
                  <c:v>54.054274748904426</c:v>
                </c:pt>
                <c:pt idx="169">
                  <c:v>54.285714285714285</c:v>
                </c:pt>
                <c:pt idx="170">
                  <c:v>54.5109135004042</c:v>
                </c:pt>
                <c:pt idx="171">
                  <c:v>54.738987049896771</c:v>
                </c:pt>
                <c:pt idx="172">
                  <c:v>54.967187750093238</c:v>
                </c:pt>
                <c:pt idx="173">
                  <c:v>55.181292137813877</c:v>
                </c:pt>
                <c:pt idx="174">
                  <c:v>55.181292137813877</c:v>
                </c:pt>
                <c:pt idx="175">
                  <c:v>55.181292137813877</c:v>
                </c:pt>
                <c:pt idx="176">
                  <c:v>55.397944897905255</c:v>
                </c:pt>
                <c:pt idx="177">
                  <c:v>54.871188222923237</c:v>
                </c:pt>
                <c:pt idx="178">
                  <c:v>55.061088873191494</c:v>
                </c:pt>
                <c:pt idx="179">
                  <c:v>55.279875032543615</c:v>
                </c:pt>
                <c:pt idx="180">
                  <c:v>55.372824110158476</c:v>
                </c:pt>
                <c:pt idx="181">
                  <c:v>55.372824110158476</c:v>
                </c:pt>
                <c:pt idx="182">
                  <c:v>55.372824110158476</c:v>
                </c:pt>
                <c:pt idx="183">
                  <c:v>55.30613302918762</c:v>
                </c:pt>
                <c:pt idx="184">
                  <c:v>55.476147475425044</c:v>
                </c:pt>
                <c:pt idx="185">
                  <c:v>56.066299480105009</c:v>
                </c:pt>
                <c:pt idx="186">
                  <c:v>56.156572661427028</c:v>
                </c:pt>
                <c:pt idx="187">
                  <c:v>56.360568565292837</c:v>
                </c:pt>
                <c:pt idx="188">
                  <c:v>56.360568565292837</c:v>
                </c:pt>
                <c:pt idx="189">
                  <c:v>56.360568565292837</c:v>
                </c:pt>
                <c:pt idx="190">
                  <c:v>56.563780248861313</c:v>
                </c:pt>
                <c:pt idx="191">
                  <c:v>56.7651081505497</c:v>
                </c:pt>
                <c:pt idx="192">
                  <c:v>56.963493344090352</c:v>
                </c:pt>
                <c:pt idx="193">
                  <c:v>54.16687572123827</c:v>
                </c:pt>
                <c:pt idx="194">
                  <c:v>54.550691244239594</c:v>
                </c:pt>
                <c:pt idx="195">
                  <c:v>54.550691244239594</c:v>
                </c:pt>
                <c:pt idx="196">
                  <c:v>54.550691244239594</c:v>
                </c:pt>
                <c:pt idx="197">
                  <c:v>54.755790470966595</c:v>
                </c:pt>
                <c:pt idx="198">
                  <c:v>54.979160464423934</c:v>
                </c:pt>
                <c:pt idx="199">
                  <c:v>51.605566954243194</c:v>
                </c:pt>
                <c:pt idx="200">
                  <c:v>51.440634027109098</c:v>
                </c:pt>
                <c:pt idx="201">
                  <c:v>51.650786616441394</c:v>
                </c:pt>
                <c:pt idx="202">
                  <c:v>51.650786616441394</c:v>
                </c:pt>
                <c:pt idx="203">
                  <c:v>51.650786616441394</c:v>
                </c:pt>
                <c:pt idx="204">
                  <c:v>52.017485694638786</c:v>
                </c:pt>
                <c:pt idx="205">
                  <c:v>52.389350184926641</c:v>
                </c:pt>
                <c:pt idx="206">
                  <c:v>52.165945906325689</c:v>
                </c:pt>
                <c:pt idx="207">
                  <c:v>52.069838796084362</c:v>
                </c:pt>
                <c:pt idx="208">
                  <c:v>48.594719552256954</c:v>
                </c:pt>
                <c:pt idx="209">
                  <c:v>48.594719552256954</c:v>
                </c:pt>
                <c:pt idx="210">
                  <c:v>48.594719552256954</c:v>
                </c:pt>
                <c:pt idx="211">
                  <c:v>47.761194029850763</c:v>
                </c:pt>
                <c:pt idx="212">
                  <c:v>48.170231255733036</c:v>
                </c:pt>
                <c:pt idx="213">
                  <c:v>48.407889336841855</c:v>
                </c:pt>
                <c:pt idx="214">
                  <c:v>49.772349497723496</c:v>
                </c:pt>
                <c:pt idx="215">
                  <c:v>50.142963550301545</c:v>
                </c:pt>
                <c:pt idx="216">
                  <c:v>50.142963550301545</c:v>
                </c:pt>
                <c:pt idx="217">
                  <c:v>50.142963550301545</c:v>
                </c:pt>
                <c:pt idx="218">
                  <c:v>50.503355704697981</c:v>
                </c:pt>
                <c:pt idx="219">
                  <c:v>50.791335947212389</c:v>
                </c:pt>
                <c:pt idx="220">
                  <c:v>50.932667142517246</c:v>
                </c:pt>
                <c:pt idx="221">
                  <c:v>51.137789775283423</c:v>
                </c:pt>
                <c:pt idx="222">
                  <c:v>51.379562215781903</c:v>
                </c:pt>
                <c:pt idx="223">
                  <c:v>51.379562215781903</c:v>
                </c:pt>
                <c:pt idx="224">
                  <c:v>51.379562215781903</c:v>
                </c:pt>
                <c:pt idx="225">
                  <c:v>51.599662241403578</c:v>
                </c:pt>
                <c:pt idx="226">
                  <c:v>52.165303283905949</c:v>
                </c:pt>
                <c:pt idx="227">
                  <c:v>55.780727530651525</c:v>
                </c:pt>
                <c:pt idx="228">
                  <c:v>55.929208008280952</c:v>
                </c:pt>
                <c:pt idx="229">
                  <c:v>56.072273390709213</c:v>
                </c:pt>
                <c:pt idx="230">
                  <c:v>56.072273390709213</c:v>
                </c:pt>
                <c:pt idx="231">
                  <c:v>56.072273390709213</c:v>
                </c:pt>
                <c:pt idx="232">
                  <c:v>56.26816314259959</c:v>
                </c:pt>
                <c:pt idx="233">
                  <c:v>56.47859582637323</c:v>
                </c:pt>
                <c:pt idx="234">
                  <c:v>56.620278330020035</c:v>
                </c:pt>
                <c:pt idx="235">
                  <c:v>56.665758243936388</c:v>
                </c:pt>
                <c:pt idx="236">
                  <c:v>56.834727672071274</c:v>
                </c:pt>
                <c:pt idx="237">
                  <c:v>56.834727672071274</c:v>
                </c:pt>
                <c:pt idx="238">
                  <c:v>56.834727672071274</c:v>
                </c:pt>
                <c:pt idx="239">
                  <c:v>57.015793234286839</c:v>
                </c:pt>
                <c:pt idx="240">
                  <c:v>57.218176021972113</c:v>
                </c:pt>
                <c:pt idx="241">
                  <c:v>57.408266399745997</c:v>
                </c:pt>
                <c:pt idx="242">
                  <c:v>61.148045632097677</c:v>
                </c:pt>
                <c:pt idx="243">
                  <c:v>61.304886228780745</c:v>
                </c:pt>
                <c:pt idx="244">
                  <c:v>61.304886228780745</c:v>
                </c:pt>
                <c:pt idx="245">
                  <c:v>61.304886228780745</c:v>
                </c:pt>
                <c:pt idx="246">
                  <c:v>61.426293591194295</c:v>
                </c:pt>
                <c:pt idx="247">
                  <c:v>61.316788021741225</c:v>
                </c:pt>
                <c:pt idx="248">
                  <c:v>61.708243506826811</c:v>
                </c:pt>
                <c:pt idx="249">
                  <c:v>61.825811073585101</c:v>
                </c:pt>
                <c:pt idx="250">
                  <c:v>60.744751494100221</c:v>
                </c:pt>
                <c:pt idx="251">
                  <c:v>60.744751494100221</c:v>
                </c:pt>
                <c:pt idx="252">
                  <c:v>60.744751494100221</c:v>
                </c:pt>
                <c:pt idx="253">
                  <c:v>60.849741460556736</c:v>
                </c:pt>
                <c:pt idx="254">
                  <c:v>60.894495412843995</c:v>
                </c:pt>
                <c:pt idx="255">
                  <c:v>61.447139494422245</c:v>
                </c:pt>
                <c:pt idx="256">
                  <c:v>61.424854606672774</c:v>
                </c:pt>
                <c:pt idx="257">
                  <c:v>61.541591435037994</c:v>
                </c:pt>
                <c:pt idx="258">
                  <c:v>61.541591435037994</c:v>
                </c:pt>
                <c:pt idx="259">
                  <c:v>61.541591435037994</c:v>
                </c:pt>
                <c:pt idx="260">
                  <c:v>61.639144661745568</c:v>
                </c:pt>
                <c:pt idx="261">
                  <c:v>59.785862891358398</c:v>
                </c:pt>
                <c:pt idx="262">
                  <c:v>59.516501357144577</c:v>
                </c:pt>
                <c:pt idx="263">
                  <c:v>59.599137384244571</c:v>
                </c:pt>
                <c:pt idx="264">
                  <c:v>59.958353437111157</c:v>
                </c:pt>
                <c:pt idx="265">
                  <c:v>59.958353437111157</c:v>
                </c:pt>
                <c:pt idx="266">
                  <c:v>59.958353437111157</c:v>
                </c:pt>
                <c:pt idx="267">
                  <c:v>60.115343754742746</c:v>
                </c:pt>
                <c:pt idx="268">
                  <c:v>60.286117267781577</c:v>
                </c:pt>
                <c:pt idx="269">
                  <c:v>60.485164394546906</c:v>
                </c:pt>
                <c:pt idx="270">
                  <c:v>60.58788242351519</c:v>
                </c:pt>
                <c:pt idx="271">
                  <c:v>60.291448039191309</c:v>
                </c:pt>
                <c:pt idx="272">
                  <c:v>60.291448039191309</c:v>
                </c:pt>
                <c:pt idx="273">
                  <c:v>60.291448039191309</c:v>
                </c:pt>
                <c:pt idx="274">
                  <c:v>60.231096595407756</c:v>
                </c:pt>
                <c:pt idx="275">
                  <c:v>60.025127485034346</c:v>
                </c:pt>
                <c:pt idx="276">
                  <c:v>60.416158462213907</c:v>
                </c:pt>
                <c:pt idx="277">
                  <c:v>60.860220306279466</c:v>
                </c:pt>
                <c:pt idx="278">
                  <c:v>60.860220306279466</c:v>
                </c:pt>
                <c:pt idx="279">
                  <c:v>60.860220306279466</c:v>
                </c:pt>
                <c:pt idx="280">
                  <c:v>60.860220306279466</c:v>
                </c:pt>
                <c:pt idx="281">
                  <c:v>58.659000097456314</c:v>
                </c:pt>
                <c:pt idx="282">
                  <c:v>58.310851865354088</c:v>
                </c:pt>
                <c:pt idx="283">
                  <c:v>58.182963160316795</c:v>
                </c:pt>
                <c:pt idx="284">
                  <c:v>58.285010147869045</c:v>
                </c:pt>
                <c:pt idx="285">
                  <c:v>58.388566195078454</c:v>
                </c:pt>
                <c:pt idx="286">
                  <c:v>58.388566195078454</c:v>
                </c:pt>
                <c:pt idx="287">
                  <c:v>58.388566195078454</c:v>
                </c:pt>
                <c:pt idx="288">
                  <c:v>58.028609207837476</c:v>
                </c:pt>
                <c:pt idx="289">
                  <c:v>58.010599266204594</c:v>
                </c:pt>
                <c:pt idx="290">
                  <c:v>58.115058007415378</c:v>
                </c:pt>
                <c:pt idx="291">
                  <c:v>58.26182303585049</c:v>
                </c:pt>
                <c:pt idx="292">
                  <c:v>58.745079327209908</c:v>
                </c:pt>
              </c:numCache>
            </c:numRef>
          </c:val>
        </c:ser>
        <c:marker val="1"/>
        <c:axId val="263356416"/>
        <c:axId val="263357952"/>
      </c:lineChart>
      <c:dateAx>
        <c:axId val="231566720"/>
        <c:scaling>
          <c:orientation val="minMax"/>
        </c:scaling>
        <c:axPos val="b"/>
        <c:numFmt formatCode="yy/m" sourceLinked="0"/>
        <c:tickLblPos val="nextTo"/>
        <c:txPr>
          <a:bodyPr rot="-2700000"/>
          <a:lstStyle/>
          <a:p>
            <a:pPr>
              <a:defRPr sz="800"/>
            </a:pPr>
            <a:endParaRPr lang="zh-CN"/>
          </a:p>
        </c:txPr>
        <c:crossAx val="231676544"/>
        <c:crosses val="autoZero"/>
        <c:auto val="1"/>
        <c:lblOffset val="100"/>
        <c:majorUnit val="1"/>
      </c:dateAx>
      <c:valAx>
        <c:axId val="231676544"/>
        <c:scaling>
          <c:orientation val="minMax"/>
          <c:min val="700000"/>
        </c:scaling>
        <c:axPos val="l"/>
        <c:majorGridlines/>
        <c:numFmt formatCode="#,##0_ " sourceLinked="0"/>
        <c:tickLblPos val="nextTo"/>
        <c:txPr>
          <a:bodyPr/>
          <a:lstStyle/>
          <a:p>
            <a:pPr>
              <a:defRPr sz="800"/>
            </a:pPr>
            <a:endParaRPr lang="zh-CN"/>
          </a:p>
        </c:txPr>
        <c:crossAx val="231566720"/>
        <c:crosses val="autoZero"/>
        <c:crossBetween val="between"/>
      </c:valAx>
      <c:dateAx>
        <c:axId val="263356416"/>
        <c:scaling>
          <c:orientation val="minMax"/>
        </c:scaling>
        <c:delete val="1"/>
        <c:axPos val="b"/>
        <c:numFmt formatCode="yyyy/m/d" sourceLinked="1"/>
        <c:tickLblPos val="none"/>
        <c:crossAx val="263357952"/>
        <c:crosses val="autoZero"/>
        <c:auto val="1"/>
        <c:lblOffset val="100"/>
      </c:dateAx>
      <c:valAx>
        <c:axId val="263357952"/>
        <c:scaling>
          <c:orientation val="minMax"/>
        </c:scaling>
        <c:axPos val="r"/>
        <c:numFmt formatCode="0_ " sourceLinked="0"/>
        <c:tickLblPos val="nextTo"/>
        <c:txPr>
          <a:bodyPr/>
          <a:lstStyle/>
          <a:p>
            <a:pPr>
              <a:defRPr sz="800"/>
            </a:pPr>
            <a:endParaRPr lang="zh-CN"/>
          </a:p>
        </c:txPr>
        <c:crossAx val="263356416"/>
        <c:crosses val="max"/>
        <c:crossBetween val="between"/>
      </c:valAx>
    </c:plotArea>
    <c:legend>
      <c:legendPos val="r"/>
      <c:layout>
        <c:manualLayout>
          <c:xMode val="edge"/>
          <c:yMode val="edge"/>
          <c:x val="0.16024155754903896"/>
          <c:y val="1.3006487396622771E-3"/>
          <c:w val="0.71127965550267302"/>
          <c:h val="0.10749665725746553"/>
        </c:manualLayout>
      </c:layout>
      <c:txPr>
        <a:bodyPr/>
        <a:lstStyle/>
        <a:p>
          <a:pPr>
            <a:defRPr sz="800"/>
          </a:pPr>
          <a:endParaRPr lang="zh-CN"/>
        </a:p>
      </c:txPr>
    </c:legend>
    <c:plotVisOnly val="1"/>
    <c:dispBlanksAs val="zero"/>
  </c:chart>
  <c:spPr>
    <a:solidFill>
      <a:schemeClr val="bg1"/>
    </a:solidFill>
    <a:ln>
      <a:noFill/>
    </a:ln>
  </c:spPr>
  <c:txPr>
    <a:bodyPr/>
    <a:lstStyle/>
    <a:p>
      <a:pPr>
        <a:defRPr sz="900"/>
      </a:pPr>
      <a:endParaRPr lang="zh-CN"/>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1712422309400579"/>
          <c:y val="0.156870421235732"/>
          <c:w val="0.77587182322990655"/>
          <c:h val="0.60579988978184263"/>
        </c:manualLayout>
      </c:layout>
      <c:barChart>
        <c:barDir val="col"/>
        <c:grouping val="clustered"/>
        <c:ser>
          <c:idx val="0"/>
          <c:order val="0"/>
          <c:tx>
            <c:strRef>
              <c:f>国内锌产量、进出口量!$B$2</c:f>
              <c:strCache>
                <c:ptCount val="1"/>
                <c:pt idx="0">
                  <c:v>产量:锌:累计值</c:v>
                </c:pt>
              </c:strCache>
            </c:strRef>
          </c:tx>
          <c:cat>
            <c:numRef>
              <c:f>国内锌产量、进出口量!$A$4:$A$51</c:f>
              <c:numCache>
                <c:formatCode>yyyy\-mm;@</c:formatCode>
                <c:ptCount val="48"/>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numCache>
            </c:numRef>
          </c:cat>
          <c:val>
            <c:numRef>
              <c:f>国内锌产量、进出口量!$B$4:$B$51</c:f>
              <c:numCache>
                <c:formatCode>###,###,###,###,##0.00</c:formatCode>
                <c:ptCount val="48"/>
                <c:pt idx="0">
                  <c:v>171.30220000000037</c:v>
                </c:pt>
                <c:pt idx="1">
                  <c:v>125.68899999999998</c:v>
                </c:pt>
                <c:pt idx="2">
                  <c:v>82.021299999999997</c:v>
                </c:pt>
                <c:pt idx="3">
                  <c:v>530.21980000000053</c:v>
                </c:pt>
                <c:pt idx="4">
                  <c:v>489.33529999999928</c:v>
                </c:pt>
                <c:pt idx="5">
                  <c:v>440.34690000000001</c:v>
                </c:pt>
                <c:pt idx="6">
                  <c:v>390.97269999999969</c:v>
                </c:pt>
                <c:pt idx="7">
                  <c:v>345.78659999999866</c:v>
                </c:pt>
                <c:pt idx="8">
                  <c:v>302.00689999999969</c:v>
                </c:pt>
                <c:pt idx="9">
                  <c:v>257.02349999999927</c:v>
                </c:pt>
                <c:pt idx="10">
                  <c:v>212.26609999999999</c:v>
                </c:pt>
                <c:pt idx="11">
                  <c:v>172.33800000000036</c:v>
                </c:pt>
                <c:pt idx="12">
                  <c:v>126.8862</c:v>
                </c:pt>
                <c:pt idx="13">
                  <c:v>78.7</c:v>
                </c:pt>
                <c:pt idx="14">
                  <c:v>39.800000000000004</c:v>
                </c:pt>
                <c:pt idx="15">
                  <c:v>484.64260000000104</c:v>
                </c:pt>
                <c:pt idx="16">
                  <c:v>438.57859999999897</c:v>
                </c:pt>
                <c:pt idx="17">
                  <c:v>392.86939999999993</c:v>
                </c:pt>
                <c:pt idx="18">
                  <c:v>350.45909999999969</c:v>
                </c:pt>
                <c:pt idx="19">
                  <c:v>312</c:v>
                </c:pt>
                <c:pt idx="20">
                  <c:v>271.89999999999969</c:v>
                </c:pt>
                <c:pt idx="21">
                  <c:v>235</c:v>
                </c:pt>
                <c:pt idx="22">
                  <c:v>193.4</c:v>
                </c:pt>
                <c:pt idx="23">
                  <c:v>156.4</c:v>
                </c:pt>
                <c:pt idx="24">
                  <c:v>118.5</c:v>
                </c:pt>
                <c:pt idx="25">
                  <c:v>77.2</c:v>
                </c:pt>
                <c:pt idx="26">
                  <c:v>37.191900000000011</c:v>
                </c:pt>
                <c:pt idx="27">
                  <c:v>534.4</c:v>
                </c:pt>
                <c:pt idx="28">
                  <c:v>482.6</c:v>
                </c:pt>
                <c:pt idx="29">
                  <c:v>434</c:v>
                </c:pt>
                <c:pt idx="30">
                  <c:v>386</c:v>
                </c:pt>
                <c:pt idx="31">
                  <c:v>341</c:v>
                </c:pt>
                <c:pt idx="32">
                  <c:v>299.7</c:v>
                </c:pt>
                <c:pt idx="33">
                  <c:v>257.39999999999969</c:v>
                </c:pt>
                <c:pt idx="34">
                  <c:v>211.4</c:v>
                </c:pt>
                <c:pt idx="35">
                  <c:v>170.5</c:v>
                </c:pt>
                <c:pt idx="36">
                  <c:v>127.5</c:v>
                </c:pt>
                <c:pt idx="37">
                  <c:v>79.900000000000006</c:v>
                </c:pt>
                <c:pt idx="38">
                  <c:v>40.230300000000092</c:v>
                </c:pt>
                <c:pt idx="39">
                  <c:v>526.5</c:v>
                </c:pt>
                <c:pt idx="40">
                  <c:v>479.9</c:v>
                </c:pt>
                <c:pt idx="41">
                  <c:v>431.1</c:v>
                </c:pt>
                <c:pt idx="42">
                  <c:v>383.07169999999928</c:v>
                </c:pt>
                <c:pt idx="43">
                  <c:v>332.7</c:v>
                </c:pt>
                <c:pt idx="44">
                  <c:v>287.7</c:v>
                </c:pt>
                <c:pt idx="45">
                  <c:v>247.7</c:v>
                </c:pt>
                <c:pt idx="46">
                  <c:v>205.6</c:v>
                </c:pt>
                <c:pt idx="47">
                  <c:v>160.69999999999999</c:v>
                </c:pt>
              </c:numCache>
            </c:numRef>
          </c:val>
        </c:ser>
        <c:axId val="114492928"/>
        <c:axId val="114494464"/>
      </c:barChart>
      <c:lineChart>
        <c:grouping val="standard"/>
        <c:ser>
          <c:idx val="1"/>
          <c:order val="1"/>
          <c:tx>
            <c:strRef>
              <c:f>国内锌产量、进出口量!$C$2</c:f>
              <c:strCache>
                <c:ptCount val="1"/>
                <c:pt idx="0">
                  <c:v>产量:锌:累计同比</c:v>
                </c:pt>
              </c:strCache>
            </c:strRef>
          </c:tx>
          <c:marker>
            <c:symbol val="none"/>
          </c:marker>
          <c:cat>
            <c:numRef>
              <c:f>国内锌产量、进出口量!$A$4:$A$51</c:f>
              <c:numCache>
                <c:formatCode>yyyy\-mm;@</c:formatCode>
                <c:ptCount val="48"/>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numCache>
            </c:numRef>
          </c:cat>
          <c:val>
            <c:numRef>
              <c:f>国内锌产量、进出口量!$C$4:$C$51</c:f>
              <c:numCache>
                <c:formatCode>###,###,###,###,##0.00</c:formatCode>
                <c:ptCount val="48"/>
                <c:pt idx="0">
                  <c:v>-0.57399999999999995</c:v>
                </c:pt>
                <c:pt idx="1">
                  <c:v>-1.8741000000000001</c:v>
                </c:pt>
                <c:pt idx="2">
                  <c:v>1.1599999999999968</c:v>
                </c:pt>
                <c:pt idx="3">
                  <c:v>11.139999999999999</c:v>
                </c:pt>
                <c:pt idx="4">
                  <c:v>13.1</c:v>
                </c:pt>
                <c:pt idx="5">
                  <c:v>13.415000000000004</c:v>
                </c:pt>
                <c:pt idx="6">
                  <c:v>11.6806</c:v>
                </c:pt>
                <c:pt idx="7">
                  <c:v>10.815600000000027</c:v>
                </c:pt>
                <c:pt idx="8">
                  <c:v>10.834</c:v>
                </c:pt>
                <c:pt idx="9">
                  <c:v>9.1422999999999988</c:v>
                </c:pt>
                <c:pt idx="10">
                  <c:v>9.3147000000000002</c:v>
                </c:pt>
                <c:pt idx="11">
                  <c:v>8.6007000000000016</c:v>
                </c:pt>
                <c:pt idx="12">
                  <c:v>6.7683999999999997</c:v>
                </c:pt>
                <c:pt idx="13">
                  <c:v>1.7</c:v>
                </c:pt>
                <c:pt idx="14">
                  <c:v>7.3540999999999945</c:v>
                </c:pt>
                <c:pt idx="15">
                  <c:v>-5.5374999999999996</c:v>
                </c:pt>
                <c:pt idx="16">
                  <c:v>-5.9878999999999998</c:v>
                </c:pt>
                <c:pt idx="17">
                  <c:v>-6.2317000000000125</c:v>
                </c:pt>
                <c:pt idx="18">
                  <c:v>-6.2721</c:v>
                </c:pt>
                <c:pt idx="19">
                  <c:v>-5.7</c:v>
                </c:pt>
                <c:pt idx="20">
                  <c:v>-6.6</c:v>
                </c:pt>
                <c:pt idx="21">
                  <c:v>-6.2</c:v>
                </c:pt>
                <c:pt idx="22">
                  <c:v>-7</c:v>
                </c:pt>
                <c:pt idx="23">
                  <c:v>-7.3</c:v>
                </c:pt>
                <c:pt idx="24">
                  <c:v>-5.7</c:v>
                </c:pt>
                <c:pt idx="25">
                  <c:v>-1.9000000000000001</c:v>
                </c:pt>
                <c:pt idx="26">
                  <c:v>-6.7392000000000136</c:v>
                </c:pt>
                <c:pt idx="27">
                  <c:v>3.8</c:v>
                </c:pt>
                <c:pt idx="28">
                  <c:v>3.4</c:v>
                </c:pt>
                <c:pt idx="29">
                  <c:v>3.5</c:v>
                </c:pt>
                <c:pt idx="30">
                  <c:v>3.5</c:v>
                </c:pt>
                <c:pt idx="31">
                  <c:v>5.4</c:v>
                </c:pt>
                <c:pt idx="32">
                  <c:v>6.7</c:v>
                </c:pt>
                <c:pt idx="33">
                  <c:v>6.1</c:v>
                </c:pt>
                <c:pt idx="34">
                  <c:v>5.0999999999999996</c:v>
                </c:pt>
                <c:pt idx="35">
                  <c:v>9.2000000000000011</c:v>
                </c:pt>
                <c:pt idx="36">
                  <c:v>11.4</c:v>
                </c:pt>
                <c:pt idx="37">
                  <c:v>-12.7</c:v>
                </c:pt>
                <c:pt idx="38">
                  <c:v>-27.130099999999999</c:v>
                </c:pt>
                <c:pt idx="39">
                  <c:v>19.7</c:v>
                </c:pt>
                <c:pt idx="40">
                  <c:v>21.8</c:v>
                </c:pt>
                <c:pt idx="41">
                  <c:v>23.2</c:v>
                </c:pt>
                <c:pt idx="42">
                  <c:v>23.856999999999999</c:v>
                </c:pt>
                <c:pt idx="43">
                  <c:v>23.9</c:v>
                </c:pt>
                <c:pt idx="44">
                  <c:v>27</c:v>
                </c:pt>
                <c:pt idx="45">
                  <c:v>30.4</c:v>
                </c:pt>
                <c:pt idx="46">
                  <c:v>34.6</c:v>
                </c:pt>
                <c:pt idx="47">
                  <c:v>34.700000000000003</c:v>
                </c:pt>
              </c:numCache>
            </c:numRef>
          </c:val>
        </c:ser>
        <c:marker val="1"/>
        <c:axId val="121764096"/>
        <c:axId val="121762560"/>
      </c:lineChart>
      <c:dateAx>
        <c:axId val="114492928"/>
        <c:scaling>
          <c:orientation val="minMax"/>
        </c:scaling>
        <c:axPos val="b"/>
        <c:numFmt formatCode="yyyy\-mm;@" sourceLinked="1"/>
        <c:tickLblPos val="nextTo"/>
        <c:txPr>
          <a:bodyPr/>
          <a:lstStyle/>
          <a:p>
            <a:pPr>
              <a:defRPr sz="900"/>
            </a:pPr>
            <a:endParaRPr lang="zh-CN"/>
          </a:p>
        </c:txPr>
        <c:crossAx val="114494464"/>
        <c:crosses val="autoZero"/>
        <c:auto val="1"/>
        <c:lblOffset val="100"/>
      </c:dateAx>
      <c:valAx>
        <c:axId val="114494464"/>
        <c:scaling>
          <c:orientation val="minMax"/>
        </c:scaling>
        <c:axPos val="l"/>
        <c:majorGridlines/>
        <c:numFmt formatCode="General" sourceLinked="0"/>
        <c:tickLblPos val="nextTo"/>
        <c:txPr>
          <a:bodyPr/>
          <a:lstStyle/>
          <a:p>
            <a:pPr>
              <a:defRPr sz="900"/>
            </a:pPr>
            <a:endParaRPr lang="zh-CN"/>
          </a:p>
        </c:txPr>
        <c:crossAx val="114492928"/>
        <c:crosses val="autoZero"/>
        <c:crossBetween val="between"/>
      </c:valAx>
      <c:valAx>
        <c:axId val="121762560"/>
        <c:scaling>
          <c:orientation val="minMax"/>
        </c:scaling>
        <c:axPos val="r"/>
        <c:numFmt formatCode="General" sourceLinked="0"/>
        <c:tickLblPos val="nextTo"/>
        <c:txPr>
          <a:bodyPr/>
          <a:lstStyle/>
          <a:p>
            <a:pPr>
              <a:defRPr sz="900"/>
            </a:pPr>
            <a:endParaRPr lang="zh-CN"/>
          </a:p>
        </c:txPr>
        <c:crossAx val="121764096"/>
        <c:crosses val="max"/>
        <c:crossBetween val="between"/>
      </c:valAx>
      <c:dateAx>
        <c:axId val="121764096"/>
        <c:scaling>
          <c:orientation val="minMax"/>
        </c:scaling>
        <c:delete val="1"/>
        <c:axPos val="b"/>
        <c:numFmt formatCode="yyyy\-mm;@" sourceLinked="1"/>
        <c:tickLblPos val="none"/>
        <c:crossAx val="121762560"/>
        <c:crosses val="autoZero"/>
        <c:auto val="1"/>
        <c:lblOffset val="100"/>
      </c:dateAx>
    </c:plotArea>
    <c:legend>
      <c:legendPos val="t"/>
      <c:layout>
        <c:manualLayout>
          <c:xMode val="edge"/>
          <c:yMode val="edge"/>
          <c:x val="0.1052959824802253"/>
          <c:y val="9.8923717740255143E-3"/>
          <c:w val="0.78940776053817663"/>
          <c:h val="0.10867120910877152"/>
        </c:manualLayout>
      </c:layout>
      <c:txPr>
        <a:bodyPr/>
        <a:lstStyle/>
        <a:p>
          <a:pPr>
            <a:defRPr sz="900"/>
          </a:pPr>
          <a:endParaRPr lang="zh-CN"/>
        </a:p>
      </c:txPr>
    </c:legend>
    <c:plotVisOnly val="1"/>
    <c:dispBlanksAs val="gap"/>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1274883244254437"/>
          <c:y val="0.19549145045298824"/>
          <c:w val="0.77103704423239172"/>
          <c:h val="0.58584983652765221"/>
        </c:manualLayout>
      </c:layout>
      <c:barChart>
        <c:barDir val="col"/>
        <c:grouping val="clustered"/>
        <c:ser>
          <c:idx val="0"/>
          <c:order val="0"/>
          <c:tx>
            <c:strRef>
              <c:f>国内锌产量、进出口量!$E$2</c:f>
              <c:strCache>
                <c:ptCount val="1"/>
                <c:pt idx="0">
                  <c:v>产量:锌选矿产品含锌量:累计值</c:v>
                </c:pt>
              </c:strCache>
            </c:strRef>
          </c:tx>
          <c:cat>
            <c:numRef>
              <c:f>国内锌产量、进出口量!$D$4:$D$53</c:f>
              <c:numCache>
                <c:formatCode>yyyy\-mm;@</c:formatCode>
                <c:ptCount val="50"/>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numCache>
            </c:numRef>
          </c:cat>
          <c:val>
            <c:numRef>
              <c:f>国内锌产量、进出口量!$E$4:$E$53</c:f>
              <c:numCache>
                <c:formatCode>###,###,###,###,##0.00</c:formatCode>
                <c:ptCount val="50"/>
                <c:pt idx="0">
                  <c:v>153.59359999999998</c:v>
                </c:pt>
                <c:pt idx="1">
                  <c:v>108.90750000000018</c:v>
                </c:pt>
                <c:pt idx="2">
                  <c:v>58.801199999999994</c:v>
                </c:pt>
                <c:pt idx="3">
                  <c:v>550.94259999999792</c:v>
                </c:pt>
                <c:pt idx="4">
                  <c:v>517.62900000000002</c:v>
                </c:pt>
                <c:pt idx="5">
                  <c:v>466.4352999999989</c:v>
                </c:pt>
                <c:pt idx="6">
                  <c:v>416.87119999999896</c:v>
                </c:pt>
                <c:pt idx="7">
                  <c:v>363.77549999999928</c:v>
                </c:pt>
                <c:pt idx="8">
                  <c:v>314.17189999999999</c:v>
                </c:pt>
                <c:pt idx="9">
                  <c:v>264.93329999999878</c:v>
                </c:pt>
                <c:pt idx="10">
                  <c:v>211.93379999999999</c:v>
                </c:pt>
                <c:pt idx="11">
                  <c:v>160.93979999999999</c:v>
                </c:pt>
                <c:pt idx="12">
                  <c:v>111.01260000000002</c:v>
                </c:pt>
                <c:pt idx="13">
                  <c:v>61.8</c:v>
                </c:pt>
                <c:pt idx="14">
                  <c:v>31.6</c:v>
                </c:pt>
                <c:pt idx="15">
                  <c:v>513.23180000000002</c:v>
                </c:pt>
                <c:pt idx="16">
                  <c:v>464.03359999999878</c:v>
                </c:pt>
                <c:pt idx="17">
                  <c:v>414.76849999999928</c:v>
                </c:pt>
                <c:pt idx="18">
                  <c:v>366.81439999999969</c:v>
                </c:pt>
                <c:pt idx="19">
                  <c:v>330.1</c:v>
                </c:pt>
                <c:pt idx="20">
                  <c:v>281.60000000000002</c:v>
                </c:pt>
                <c:pt idx="21">
                  <c:v>237.3</c:v>
                </c:pt>
                <c:pt idx="22">
                  <c:v>187.6</c:v>
                </c:pt>
                <c:pt idx="23">
                  <c:v>142.5</c:v>
                </c:pt>
                <c:pt idx="24">
                  <c:v>101.5</c:v>
                </c:pt>
                <c:pt idx="25">
                  <c:v>57.7</c:v>
                </c:pt>
                <c:pt idx="26">
                  <c:v>27.611300000000035</c:v>
                </c:pt>
                <c:pt idx="27">
                  <c:v>445.8</c:v>
                </c:pt>
                <c:pt idx="28">
                  <c:v>397.3</c:v>
                </c:pt>
                <c:pt idx="29">
                  <c:v>349.8</c:v>
                </c:pt>
                <c:pt idx="30">
                  <c:v>304.2</c:v>
                </c:pt>
                <c:pt idx="31">
                  <c:v>263.10000000000002</c:v>
                </c:pt>
                <c:pt idx="32">
                  <c:v>224.9</c:v>
                </c:pt>
                <c:pt idx="33">
                  <c:v>189.1</c:v>
                </c:pt>
                <c:pt idx="34">
                  <c:v>147.9</c:v>
                </c:pt>
                <c:pt idx="35">
                  <c:v>109.8</c:v>
                </c:pt>
                <c:pt idx="36">
                  <c:v>75</c:v>
                </c:pt>
                <c:pt idx="37">
                  <c:v>40.9</c:v>
                </c:pt>
                <c:pt idx="38">
                  <c:v>22.083699999999922</c:v>
                </c:pt>
                <c:pt idx="39">
                  <c:v>392.8</c:v>
                </c:pt>
                <c:pt idx="40">
                  <c:v>347.2</c:v>
                </c:pt>
                <c:pt idx="41">
                  <c:v>309.2</c:v>
                </c:pt>
                <c:pt idx="42">
                  <c:v>277.3</c:v>
                </c:pt>
                <c:pt idx="43">
                  <c:v>244</c:v>
                </c:pt>
                <c:pt idx="44">
                  <c:v>214.8</c:v>
                </c:pt>
                <c:pt idx="45">
                  <c:v>179.5</c:v>
                </c:pt>
                <c:pt idx="46">
                  <c:v>137.6</c:v>
                </c:pt>
                <c:pt idx="47">
                  <c:v>103.3</c:v>
                </c:pt>
                <c:pt idx="48">
                  <c:v>71.8</c:v>
                </c:pt>
                <c:pt idx="49">
                  <c:v>41.6</c:v>
                </c:pt>
              </c:numCache>
            </c:numRef>
          </c:val>
        </c:ser>
        <c:axId val="119283072"/>
        <c:axId val="121648256"/>
      </c:barChart>
      <c:lineChart>
        <c:grouping val="standard"/>
        <c:ser>
          <c:idx val="1"/>
          <c:order val="1"/>
          <c:tx>
            <c:strRef>
              <c:f>国内锌产量、进出口量!$F$2</c:f>
              <c:strCache>
                <c:ptCount val="1"/>
                <c:pt idx="0">
                  <c:v>产量:锌选矿产品含锌量:累计同比</c:v>
                </c:pt>
              </c:strCache>
            </c:strRef>
          </c:tx>
          <c:marker>
            <c:symbol val="none"/>
          </c:marker>
          <c:cat>
            <c:numRef>
              <c:f>国内锌产量、进出口量!$D$4:$D$53</c:f>
              <c:numCache>
                <c:formatCode>yyyy\-mm;@</c:formatCode>
                <c:ptCount val="50"/>
                <c:pt idx="0">
                  <c:v>41759</c:v>
                </c:pt>
                <c:pt idx="1">
                  <c:v>41729</c:v>
                </c:pt>
                <c:pt idx="2">
                  <c:v>41698</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numCache>
            </c:numRef>
          </c:cat>
          <c:val>
            <c:numRef>
              <c:f>国内锌产量、进出口量!$F$4:$F$53</c:f>
              <c:numCache>
                <c:formatCode>###,###,###,###,##0.00</c:formatCode>
                <c:ptCount val="50"/>
                <c:pt idx="0">
                  <c:v>-4.2042999999999999</c:v>
                </c:pt>
                <c:pt idx="1">
                  <c:v>-3.0923999999999987</c:v>
                </c:pt>
                <c:pt idx="2">
                  <c:v>-3.1669</c:v>
                </c:pt>
                <c:pt idx="3">
                  <c:v>9.1568000000000005</c:v>
                </c:pt>
                <c:pt idx="4">
                  <c:v>12.3347</c:v>
                </c:pt>
                <c:pt idx="5">
                  <c:v>12.331800000000001</c:v>
                </c:pt>
                <c:pt idx="6">
                  <c:v>14.1899</c:v>
                </c:pt>
                <c:pt idx="7">
                  <c:v>11.6568</c:v>
                </c:pt>
                <c:pt idx="8">
                  <c:v>12.332600000000006</c:v>
                </c:pt>
                <c:pt idx="9">
                  <c:v>13.3779</c:v>
                </c:pt>
                <c:pt idx="10">
                  <c:v>14.2517</c:v>
                </c:pt>
                <c:pt idx="11">
                  <c:v>11.0192</c:v>
                </c:pt>
                <c:pt idx="12">
                  <c:v>7.7904999999999998</c:v>
                </c:pt>
                <c:pt idx="13">
                  <c:v>6.6</c:v>
                </c:pt>
                <c:pt idx="14">
                  <c:v>14.1501</c:v>
                </c:pt>
                <c:pt idx="15">
                  <c:v>12.857400000000027</c:v>
                </c:pt>
                <c:pt idx="16">
                  <c:v>15.200200000000001</c:v>
                </c:pt>
                <c:pt idx="17">
                  <c:v>15.826500000000006</c:v>
                </c:pt>
                <c:pt idx="18">
                  <c:v>17.89</c:v>
                </c:pt>
                <c:pt idx="19">
                  <c:v>21.2</c:v>
                </c:pt>
                <c:pt idx="20">
                  <c:v>21</c:v>
                </c:pt>
                <c:pt idx="21">
                  <c:v>21.2</c:v>
                </c:pt>
                <c:pt idx="22">
                  <c:v>22.2</c:v>
                </c:pt>
                <c:pt idx="23">
                  <c:v>23.2</c:v>
                </c:pt>
                <c:pt idx="24">
                  <c:v>20.3</c:v>
                </c:pt>
                <c:pt idx="25">
                  <c:v>34.5</c:v>
                </c:pt>
                <c:pt idx="26">
                  <c:v>20.575699999999941</c:v>
                </c:pt>
                <c:pt idx="27">
                  <c:v>20.5</c:v>
                </c:pt>
                <c:pt idx="28">
                  <c:v>19.399999999999999</c:v>
                </c:pt>
                <c:pt idx="29">
                  <c:v>18.2</c:v>
                </c:pt>
                <c:pt idx="30">
                  <c:v>14.2</c:v>
                </c:pt>
                <c:pt idx="31">
                  <c:v>12.2</c:v>
                </c:pt>
                <c:pt idx="32">
                  <c:v>10.7</c:v>
                </c:pt>
                <c:pt idx="33">
                  <c:v>10.3</c:v>
                </c:pt>
                <c:pt idx="34">
                  <c:v>10.6</c:v>
                </c:pt>
                <c:pt idx="35">
                  <c:v>8.7000000000000011</c:v>
                </c:pt>
                <c:pt idx="36">
                  <c:v>2</c:v>
                </c:pt>
                <c:pt idx="37">
                  <c:v>-0.70000000000000062</c:v>
                </c:pt>
                <c:pt idx="38">
                  <c:v>-0.18940000000000051</c:v>
                </c:pt>
                <c:pt idx="39">
                  <c:v>20.399999999999999</c:v>
                </c:pt>
                <c:pt idx="40">
                  <c:v>24.8</c:v>
                </c:pt>
                <c:pt idx="41">
                  <c:v>26.2</c:v>
                </c:pt>
                <c:pt idx="42">
                  <c:v>31.9</c:v>
                </c:pt>
                <c:pt idx="43">
                  <c:v>34.6</c:v>
                </c:pt>
                <c:pt idx="44">
                  <c:v>38</c:v>
                </c:pt>
                <c:pt idx="45">
                  <c:v>40.700000000000003</c:v>
                </c:pt>
                <c:pt idx="46">
                  <c:v>44.1</c:v>
                </c:pt>
                <c:pt idx="47">
                  <c:v>53.5</c:v>
                </c:pt>
                <c:pt idx="48">
                  <c:v>56.8</c:v>
                </c:pt>
                <c:pt idx="49">
                  <c:v>71.2</c:v>
                </c:pt>
              </c:numCache>
            </c:numRef>
          </c:val>
        </c:ser>
        <c:marker val="1"/>
        <c:axId val="121684352"/>
        <c:axId val="121649792"/>
      </c:lineChart>
      <c:dateAx>
        <c:axId val="119283072"/>
        <c:scaling>
          <c:orientation val="minMax"/>
        </c:scaling>
        <c:axPos val="b"/>
        <c:numFmt formatCode="yyyy\-mm;@" sourceLinked="1"/>
        <c:tickLblPos val="nextTo"/>
        <c:txPr>
          <a:bodyPr/>
          <a:lstStyle/>
          <a:p>
            <a:pPr>
              <a:defRPr sz="800"/>
            </a:pPr>
            <a:endParaRPr lang="zh-CN"/>
          </a:p>
        </c:txPr>
        <c:crossAx val="121648256"/>
        <c:crosses val="autoZero"/>
        <c:auto val="1"/>
        <c:lblOffset val="100"/>
      </c:dateAx>
      <c:valAx>
        <c:axId val="121648256"/>
        <c:scaling>
          <c:orientation val="minMax"/>
        </c:scaling>
        <c:axPos val="l"/>
        <c:majorGridlines/>
        <c:numFmt formatCode="General" sourceLinked="0"/>
        <c:tickLblPos val="nextTo"/>
        <c:txPr>
          <a:bodyPr/>
          <a:lstStyle/>
          <a:p>
            <a:pPr>
              <a:defRPr sz="900"/>
            </a:pPr>
            <a:endParaRPr lang="zh-CN"/>
          </a:p>
        </c:txPr>
        <c:crossAx val="119283072"/>
        <c:crosses val="autoZero"/>
        <c:crossBetween val="between"/>
      </c:valAx>
      <c:valAx>
        <c:axId val="121649792"/>
        <c:scaling>
          <c:orientation val="minMax"/>
        </c:scaling>
        <c:axPos val="r"/>
        <c:numFmt formatCode="General" sourceLinked="0"/>
        <c:tickLblPos val="nextTo"/>
        <c:txPr>
          <a:bodyPr/>
          <a:lstStyle/>
          <a:p>
            <a:pPr>
              <a:defRPr sz="900"/>
            </a:pPr>
            <a:endParaRPr lang="zh-CN"/>
          </a:p>
        </c:txPr>
        <c:crossAx val="121684352"/>
        <c:crosses val="max"/>
        <c:crossBetween val="between"/>
      </c:valAx>
      <c:dateAx>
        <c:axId val="121684352"/>
        <c:scaling>
          <c:orientation val="minMax"/>
        </c:scaling>
        <c:delete val="1"/>
        <c:axPos val="b"/>
        <c:numFmt formatCode="yyyy\-mm;@" sourceLinked="1"/>
        <c:tickLblPos val="none"/>
        <c:crossAx val="121649792"/>
        <c:crosses val="autoZero"/>
        <c:auto val="1"/>
        <c:lblOffset val="100"/>
      </c:dateAx>
    </c:plotArea>
    <c:legend>
      <c:legendPos val="t"/>
      <c:layout>
        <c:manualLayout>
          <c:xMode val="edge"/>
          <c:yMode val="edge"/>
          <c:x val="0.20843042514480645"/>
          <c:y val="0"/>
          <c:w val="0.56927798618031078"/>
          <c:h val="0.16448947641653044"/>
        </c:manualLayout>
      </c:layout>
      <c:txPr>
        <a:bodyPr/>
        <a:lstStyle/>
        <a:p>
          <a:pPr>
            <a:defRPr sz="800"/>
          </a:pPr>
          <a:endParaRPr lang="zh-CN"/>
        </a:p>
      </c:txPr>
    </c:legend>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502411985208677"/>
          <c:y val="0.13778999775011841"/>
          <c:w val="0.74188767918322962"/>
          <c:h val="0.63321720471929976"/>
        </c:manualLayout>
      </c:layout>
      <c:barChart>
        <c:barDir val="col"/>
        <c:grouping val="clustered"/>
        <c:ser>
          <c:idx val="0"/>
          <c:order val="0"/>
          <c:tx>
            <c:strRef>
              <c:f>国内锌产量、进出口量!$Q$2</c:f>
              <c:strCache>
                <c:ptCount val="1"/>
                <c:pt idx="0">
                  <c:v>进口数量:锌矿砂及精矿:累计值</c:v>
                </c:pt>
              </c:strCache>
            </c:strRef>
          </c:tx>
          <c:cat>
            <c:numRef>
              <c:f>国内锌产量、进出口量!$N$4:$N$49</c:f>
              <c:numCache>
                <c:formatCode>yyyy\-mm;@</c:formatCode>
                <c:ptCount val="46"/>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numCache>
            </c:numRef>
          </c:cat>
          <c:val>
            <c:numRef>
              <c:f>国内锌产量、进出口量!$Q$4:$Q$49</c:f>
              <c:numCache>
                <c:formatCode>###,###,###,###,##0.00</c:formatCode>
                <c:ptCount val="46"/>
                <c:pt idx="0">
                  <c:v>1994053</c:v>
                </c:pt>
                <c:pt idx="1">
                  <c:v>1775727</c:v>
                </c:pt>
                <c:pt idx="2">
                  <c:v>1640702</c:v>
                </c:pt>
                <c:pt idx="3">
                  <c:v>1482125</c:v>
                </c:pt>
                <c:pt idx="4">
                  <c:v>1355817</c:v>
                </c:pt>
                <c:pt idx="5">
                  <c:v>1191520</c:v>
                </c:pt>
                <c:pt idx="6">
                  <c:v>995324</c:v>
                </c:pt>
                <c:pt idx="7">
                  <c:v>767660</c:v>
                </c:pt>
                <c:pt idx="8">
                  <c:v>580009</c:v>
                </c:pt>
                <c:pt idx="9">
                  <c:v>419754</c:v>
                </c:pt>
                <c:pt idx="10">
                  <c:v>345714</c:v>
                </c:pt>
                <c:pt idx="11">
                  <c:v>183440</c:v>
                </c:pt>
                <c:pt idx="12">
                  <c:v>1940755</c:v>
                </c:pt>
                <c:pt idx="13">
                  <c:v>1762895</c:v>
                </c:pt>
                <c:pt idx="14">
                  <c:v>1591895</c:v>
                </c:pt>
                <c:pt idx="15">
                  <c:v>1390867</c:v>
                </c:pt>
                <c:pt idx="16">
                  <c:v>1199771</c:v>
                </c:pt>
                <c:pt idx="17">
                  <c:v>1032826</c:v>
                </c:pt>
                <c:pt idx="18">
                  <c:v>921995</c:v>
                </c:pt>
                <c:pt idx="19">
                  <c:v>772490</c:v>
                </c:pt>
                <c:pt idx="20">
                  <c:v>658155</c:v>
                </c:pt>
                <c:pt idx="21">
                  <c:v>534476</c:v>
                </c:pt>
                <c:pt idx="22">
                  <c:v>381504</c:v>
                </c:pt>
                <c:pt idx="23">
                  <c:v>186259</c:v>
                </c:pt>
                <c:pt idx="24">
                  <c:v>2936116</c:v>
                </c:pt>
                <c:pt idx="25">
                  <c:v>2657182</c:v>
                </c:pt>
                <c:pt idx="26">
                  <c:v>2397147</c:v>
                </c:pt>
                <c:pt idx="27">
                  <c:v>2203651</c:v>
                </c:pt>
                <c:pt idx="28">
                  <c:v>1957823</c:v>
                </c:pt>
                <c:pt idx="29">
                  <c:v>1619320</c:v>
                </c:pt>
                <c:pt idx="30">
                  <c:v>1374963</c:v>
                </c:pt>
                <c:pt idx="31">
                  <c:v>1190775</c:v>
                </c:pt>
                <c:pt idx="32">
                  <c:v>954624</c:v>
                </c:pt>
                <c:pt idx="33">
                  <c:v>729485</c:v>
                </c:pt>
                <c:pt idx="34">
                  <c:v>505227</c:v>
                </c:pt>
                <c:pt idx="35">
                  <c:v>296498.228</c:v>
                </c:pt>
                <c:pt idx="36">
                  <c:v>3240524</c:v>
                </c:pt>
                <c:pt idx="37">
                  <c:v>2985701</c:v>
                </c:pt>
                <c:pt idx="38">
                  <c:v>2703619</c:v>
                </c:pt>
                <c:pt idx="39">
                  <c:v>2417824</c:v>
                </c:pt>
                <c:pt idx="40">
                  <c:v>2002339</c:v>
                </c:pt>
                <c:pt idx="41">
                  <c:v>1700801</c:v>
                </c:pt>
                <c:pt idx="42">
                  <c:v>1506441</c:v>
                </c:pt>
                <c:pt idx="43">
                  <c:v>1292402</c:v>
                </c:pt>
                <c:pt idx="44">
                  <c:v>1068435</c:v>
                </c:pt>
                <c:pt idx="45">
                  <c:v>856938</c:v>
                </c:pt>
              </c:numCache>
            </c:numRef>
          </c:val>
        </c:ser>
        <c:axId val="122506624"/>
        <c:axId val="122508416"/>
      </c:barChart>
      <c:lineChart>
        <c:grouping val="standard"/>
        <c:ser>
          <c:idx val="1"/>
          <c:order val="1"/>
          <c:tx>
            <c:strRef>
              <c:f>国内锌产量、进出口量!$R$2</c:f>
              <c:strCache>
                <c:ptCount val="1"/>
                <c:pt idx="0">
                  <c:v>累计同比</c:v>
                </c:pt>
              </c:strCache>
            </c:strRef>
          </c:tx>
          <c:marker>
            <c:symbol val="none"/>
          </c:marker>
          <c:cat>
            <c:numRef>
              <c:f>国内锌产量、进出口量!$N$4:$N$49</c:f>
              <c:numCache>
                <c:formatCode>yyyy\-mm;@</c:formatCode>
                <c:ptCount val="46"/>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numCache>
            </c:numRef>
          </c:cat>
          <c:val>
            <c:numRef>
              <c:f>国内锌产量、进出口量!$R$4:$R$49</c:f>
              <c:numCache>
                <c:formatCode>0.00%</c:formatCode>
                <c:ptCount val="46"/>
                <c:pt idx="0">
                  <c:v>0.39116274135370388</c:v>
                </c:pt>
                <c:pt idx="1">
                  <c:v>0.37407554284680694</c:v>
                </c:pt>
                <c:pt idx="2">
                  <c:v>0.84050895945118964</c:v>
                </c:pt>
                <c:pt idx="3">
                  <c:v>0.80759786796558464</c:v>
                </c:pt>
                <c:pt idx="4">
                  <c:v>0.21521774683426087</c:v>
                </c:pt>
                <c:pt idx="5">
                  <c:v>0.2603740384873694</c:v>
                </c:pt>
                <c:pt idx="6">
                  <c:v>0.19887819963047729</c:v>
                </c:pt>
                <c:pt idx="7">
                  <c:v>0.10558168663140099</c:v>
                </c:pt>
                <c:pt idx="8">
                  <c:v>0.17324854680031299</c:v>
                </c:pt>
                <c:pt idx="9">
                  <c:v>0.20235382088210621</c:v>
                </c:pt>
                <c:pt idx="10">
                  <c:v>0.27676525409154079</c:v>
                </c:pt>
                <c:pt idx="11">
                  <c:v>0.34164174509631429</c:v>
                </c:pt>
                <c:pt idx="12">
                  <c:v>0.17756554002985764</c:v>
                </c:pt>
                <c:pt idx="13">
                  <c:v>9.7307366379870211E-2</c:v>
                </c:pt>
                <c:pt idx="14">
                  <c:v>-0.18031429004748262</c:v>
                </c:pt>
                <c:pt idx="15">
                  <c:v>4.5062900298333305E-2</c:v>
                </c:pt>
                <c:pt idx="16">
                  <c:v>0.47584621573472885</c:v>
                </c:pt>
                <c:pt idx="17">
                  <c:v>0.5199292252203207</c:v>
                </c:pt>
                <c:pt idx="18">
                  <c:v>0.52137070768450899</c:v>
                </c:pt>
                <c:pt idx="19">
                  <c:v>0.55453690546715251</c:v>
                </c:pt>
                <c:pt idx="20">
                  <c:v>0.43583260058461593</c:v>
                </c:pt>
                <c:pt idx="21">
                  <c:v>0.36858292190366493</c:v>
                </c:pt>
                <c:pt idx="22">
                  <c:v>0.28461901321407124</c:v>
                </c:pt>
                <c:pt idx="23">
                  <c:v>0.28142016836321493</c:v>
                </c:pt>
                <c:pt idx="24">
                  <c:v>0.37002584421586038</c:v>
                </c:pt>
                <c:pt idx="25">
                  <c:v>0.50247186887051076</c:v>
                </c:pt>
                <c:pt idx="26">
                  <c:v>0.73116694268287763</c:v>
                </c:pt>
                <c:pt idx="27">
                  <c:v>0.46712680082522562</c:v>
                </c:pt>
                <c:pt idx="28">
                  <c:v>7.6281722199199639E-2</c:v>
                </c:pt>
                <c:pt idx="29">
                  <c:v>1.9980356293794924E-2</c:v>
                </c:pt>
                <c:pt idx="30">
                  <c:v>1.1665183218429014E-2</c:v>
                </c:pt>
                <c:pt idx="31">
                  <c:v>-5.9588031330044602E-3</c:v>
                </c:pt>
                <c:pt idx="32">
                  <c:v>-1.4829417218419044E-2</c:v>
                </c:pt>
                <c:pt idx="33">
                  <c:v>3.4304341951175592E-2</c:v>
                </c:pt>
                <c:pt idx="34">
                  <c:v>0.15782087178955367</c:v>
                </c:pt>
                <c:pt idx="35">
                  <c:v>0.15463137688703851</c:v>
                </c:pt>
                <c:pt idx="36">
                  <c:v>0.2655713558532703</c:v>
                </c:pt>
                <c:pt idx="37">
                  <c:v>0.43015797503239955</c:v>
                </c:pt>
                <c:pt idx="38">
                  <c:v>0.15446851173960691</c:v>
                </c:pt>
                <c:pt idx="39">
                  <c:v>0.12764784454492156</c:v>
                </c:pt>
                <c:pt idx="40">
                  <c:v>-0.51705700404302002</c:v>
                </c:pt>
                <c:pt idx="41">
                  <c:v>-0.55703875659138935</c:v>
                </c:pt>
                <c:pt idx="42">
                  <c:v>-0.5785561924017153</c:v>
                </c:pt>
                <c:pt idx="43">
                  <c:v>-0.59616040231959211</c:v>
                </c:pt>
                <c:pt idx="44">
                  <c:v>-0.62258929313029265</c:v>
                </c:pt>
                <c:pt idx="45">
                  <c:v>-0.66822142730389245</c:v>
                </c:pt>
              </c:numCache>
            </c:numRef>
          </c:val>
        </c:ser>
        <c:marker val="1"/>
        <c:axId val="122515840"/>
        <c:axId val="122509952"/>
      </c:lineChart>
      <c:dateAx>
        <c:axId val="122506624"/>
        <c:scaling>
          <c:orientation val="minMax"/>
        </c:scaling>
        <c:axPos val="b"/>
        <c:numFmt formatCode="yyyy\-mm;@" sourceLinked="1"/>
        <c:tickLblPos val="nextTo"/>
        <c:txPr>
          <a:bodyPr/>
          <a:lstStyle/>
          <a:p>
            <a:pPr>
              <a:defRPr sz="800"/>
            </a:pPr>
            <a:endParaRPr lang="zh-CN"/>
          </a:p>
        </c:txPr>
        <c:crossAx val="122508416"/>
        <c:crosses val="autoZero"/>
        <c:auto val="1"/>
        <c:lblOffset val="100"/>
      </c:dateAx>
      <c:valAx>
        <c:axId val="122508416"/>
        <c:scaling>
          <c:orientation val="minMax"/>
        </c:scaling>
        <c:axPos val="l"/>
        <c:majorGridlines/>
        <c:numFmt formatCode="General" sourceLinked="0"/>
        <c:tickLblPos val="nextTo"/>
        <c:txPr>
          <a:bodyPr/>
          <a:lstStyle/>
          <a:p>
            <a:pPr>
              <a:defRPr sz="800"/>
            </a:pPr>
            <a:endParaRPr lang="zh-CN"/>
          </a:p>
        </c:txPr>
        <c:crossAx val="122506624"/>
        <c:crosses val="autoZero"/>
        <c:crossBetween val="between"/>
      </c:valAx>
      <c:valAx>
        <c:axId val="122509952"/>
        <c:scaling>
          <c:orientation val="minMax"/>
        </c:scaling>
        <c:axPos val="r"/>
        <c:numFmt formatCode="0%" sourceLinked="0"/>
        <c:tickLblPos val="nextTo"/>
        <c:txPr>
          <a:bodyPr/>
          <a:lstStyle/>
          <a:p>
            <a:pPr>
              <a:defRPr sz="800"/>
            </a:pPr>
            <a:endParaRPr lang="zh-CN"/>
          </a:p>
        </c:txPr>
        <c:crossAx val="122515840"/>
        <c:crosses val="max"/>
        <c:crossBetween val="between"/>
      </c:valAx>
      <c:dateAx>
        <c:axId val="122515840"/>
        <c:scaling>
          <c:orientation val="minMax"/>
        </c:scaling>
        <c:delete val="1"/>
        <c:axPos val="b"/>
        <c:numFmt formatCode="yyyy\-mm;@" sourceLinked="1"/>
        <c:tickLblPos val="none"/>
        <c:crossAx val="122509952"/>
        <c:crosses val="autoZero"/>
        <c:auto val="1"/>
        <c:lblOffset val="100"/>
      </c:dateAx>
    </c:plotArea>
    <c:legend>
      <c:legendPos val="t"/>
      <c:layout>
        <c:manualLayout>
          <c:xMode val="edge"/>
          <c:yMode val="edge"/>
          <c:x val="0.10458669931337725"/>
          <c:y val="0"/>
          <c:w val="0.79082660137324545"/>
          <c:h val="0.1119550088754375"/>
        </c:manualLayout>
      </c:layout>
      <c:txPr>
        <a:bodyPr/>
        <a:lstStyle/>
        <a:p>
          <a:pPr>
            <a:defRPr sz="800"/>
          </a:pPr>
          <a:endParaRPr lang="zh-CN"/>
        </a:p>
      </c:txPr>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3604792716446928"/>
          <c:y val="0.1648665628952774"/>
          <c:w val="0.74346278007650257"/>
          <c:h val="0.6165129236708049"/>
        </c:manualLayout>
      </c:layout>
      <c:barChart>
        <c:barDir val="col"/>
        <c:grouping val="clustered"/>
        <c:ser>
          <c:idx val="0"/>
          <c:order val="0"/>
          <c:tx>
            <c:strRef>
              <c:f>国内锌产量、进出口量!$O$2</c:f>
              <c:strCache>
                <c:ptCount val="1"/>
                <c:pt idx="0">
                  <c:v>进口数量:精炼锌:累计值</c:v>
                </c:pt>
              </c:strCache>
            </c:strRef>
          </c:tx>
          <c:cat>
            <c:numRef>
              <c:f>国内锌产量、进出口量!$N$4:$N$50</c:f>
              <c:numCache>
                <c:formatCode>yyyy\-mm;@</c:formatCode>
                <c:ptCount val="47"/>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pt idx="46">
                  <c:v>40359</c:v>
                </c:pt>
              </c:numCache>
            </c:numRef>
          </c:cat>
          <c:val>
            <c:numRef>
              <c:f>国内锌产量、进出口量!$O$4:$O$50</c:f>
              <c:numCache>
                <c:formatCode>###,###,###,###,##0.00</c:formatCode>
                <c:ptCount val="47"/>
                <c:pt idx="0">
                  <c:v>262262</c:v>
                </c:pt>
                <c:pt idx="1">
                  <c:v>197500</c:v>
                </c:pt>
                <c:pt idx="2">
                  <c:v>129316</c:v>
                </c:pt>
                <c:pt idx="3">
                  <c:v>90548</c:v>
                </c:pt>
                <c:pt idx="4">
                  <c:v>624165</c:v>
                </c:pt>
                <c:pt idx="5">
                  <c:v>562999</c:v>
                </c:pt>
                <c:pt idx="6">
                  <c:v>489255</c:v>
                </c:pt>
                <c:pt idx="7">
                  <c:v>414864</c:v>
                </c:pt>
                <c:pt idx="8">
                  <c:v>354429</c:v>
                </c:pt>
                <c:pt idx="9">
                  <c:v>302297</c:v>
                </c:pt>
                <c:pt idx="10">
                  <c:v>274682</c:v>
                </c:pt>
                <c:pt idx="11">
                  <c:v>244050</c:v>
                </c:pt>
                <c:pt idx="12">
                  <c:v>188520</c:v>
                </c:pt>
                <c:pt idx="13">
                  <c:v>143733</c:v>
                </c:pt>
                <c:pt idx="14">
                  <c:v>70261</c:v>
                </c:pt>
                <c:pt idx="15">
                  <c:v>50093</c:v>
                </c:pt>
                <c:pt idx="16">
                  <c:v>513624</c:v>
                </c:pt>
                <c:pt idx="17">
                  <c:v>446692</c:v>
                </c:pt>
                <c:pt idx="18">
                  <c:v>408094</c:v>
                </c:pt>
                <c:pt idx="19">
                  <c:v>375245</c:v>
                </c:pt>
                <c:pt idx="20">
                  <c:v>302092</c:v>
                </c:pt>
                <c:pt idx="21">
                  <c:v>251421</c:v>
                </c:pt>
                <c:pt idx="22">
                  <c:v>215139</c:v>
                </c:pt>
                <c:pt idx="23">
                  <c:v>181904</c:v>
                </c:pt>
                <c:pt idx="24">
                  <c:v>160093</c:v>
                </c:pt>
                <c:pt idx="25">
                  <c:v>130987</c:v>
                </c:pt>
                <c:pt idx="26">
                  <c:v>85717</c:v>
                </c:pt>
                <c:pt idx="27">
                  <c:v>47933</c:v>
                </c:pt>
                <c:pt idx="28">
                  <c:v>348020</c:v>
                </c:pt>
                <c:pt idx="29">
                  <c:v>293890</c:v>
                </c:pt>
                <c:pt idx="30">
                  <c:v>268241</c:v>
                </c:pt>
                <c:pt idx="31">
                  <c:v>241387</c:v>
                </c:pt>
                <c:pt idx="32">
                  <c:v>210395</c:v>
                </c:pt>
                <c:pt idx="33">
                  <c:v>183709</c:v>
                </c:pt>
                <c:pt idx="34">
                  <c:v>167473</c:v>
                </c:pt>
                <c:pt idx="35">
                  <c:v>141955</c:v>
                </c:pt>
                <c:pt idx="36">
                  <c:v>116854</c:v>
                </c:pt>
                <c:pt idx="37">
                  <c:v>87181</c:v>
                </c:pt>
                <c:pt idx="38">
                  <c:v>49514</c:v>
                </c:pt>
                <c:pt idx="39">
                  <c:v>32671.341</c:v>
                </c:pt>
                <c:pt idx="40">
                  <c:v>323354</c:v>
                </c:pt>
                <c:pt idx="41">
                  <c:v>288133</c:v>
                </c:pt>
                <c:pt idx="42">
                  <c:v>265148</c:v>
                </c:pt>
                <c:pt idx="43">
                  <c:v>242834</c:v>
                </c:pt>
                <c:pt idx="44">
                  <c:v>213562</c:v>
                </c:pt>
                <c:pt idx="45">
                  <c:v>177616</c:v>
                </c:pt>
                <c:pt idx="46">
                  <c:v>144645</c:v>
                </c:pt>
              </c:numCache>
            </c:numRef>
          </c:val>
        </c:ser>
        <c:axId val="122530816"/>
        <c:axId val="122647296"/>
      </c:barChart>
      <c:lineChart>
        <c:grouping val="standard"/>
        <c:ser>
          <c:idx val="1"/>
          <c:order val="1"/>
          <c:tx>
            <c:strRef>
              <c:f>国内锌产量、进出口量!$P$2</c:f>
              <c:strCache>
                <c:ptCount val="1"/>
                <c:pt idx="0">
                  <c:v>进口数量:锌矿砂及精矿:累计值</c:v>
                </c:pt>
              </c:strCache>
            </c:strRef>
          </c:tx>
          <c:marker>
            <c:symbol val="none"/>
          </c:marker>
          <c:cat>
            <c:numRef>
              <c:f>国内锌产量、进出口量!$N$4:$N$50</c:f>
              <c:numCache>
                <c:formatCode>yyyy\-mm;@</c:formatCode>
                <c:ptCount val="47"/>
                <c:pt idx="0">
                  <c:v>41759</c:v>
                </c:pt>
                <c:pt idx="1">
                  <c:v>41729</c:v>
                </c:pt>
                <c:pt idx="2">
                  <c:v>41698</c:v>
                </c:pt>
                <c:pt idx="3">
                  <c:v>41670</c:v>
                </c:pt>
                <c:pt idx="4">
                  <c:v>41639</c:v>
                </c:pt>
                <c:pt idx="5">
                  <c:v>41608</c:v>
                </c:pt>
                <c:pt idx="6">
                  <c:v>41578</c:v>
                </c:pt>
                <c:pt idx="7">
                  <c:v>41547</c:v>
                </c:pt>
                <c:pt idx="8">
                  <c:v>41517</c:v>
                </c:pt>
                <c:pt idx="9">
                  <c:v>41486</c:v>
                </c:pt>
                <c:pt idx="10">
                  <c:v>41455</c:v>
                </c:pt>
                <c:pt idx="11">
                  <c:v>41425</c:v>
                </c:pt>
                <c:pt idx="12">
                  <c:v>41394</c:v>
                </c:pt>
                <c:pt idx="13">
                  <c:v>41364</c:v>
                </c:pt>
                <c:pt idx="14">
                  <c:v>41333</c:v>
                </c:pt>
                <c:pt idx="15">
                  <c:v>41305</c:v>
                </c:pt>
                <c:pt idx="16">
                  <c:v>41274</c:v>
                </c:pt>
                <c:pt idx="17">
                  <c:v>41243</c:v>
                </c:pt>
                <c:pt idx="18">
                  <c:v>41213</c:v>
                </c:pt>
                <c:pt idx="19">
                  <c:v>41182</c:v>
                </c:pt>
                <c:pt idx="20">
                  <c:v>41152</c:v>
                </c:pt>
                <c:pt idx="21">
                  <c:v>41121</c:v>
                </c:pt>
                <c:pt idx="22">
                  <c:v>41090</c:v>
                </c:pt>
                <c:pt idx="23">
                  <c:v>41060</c:v>
                </c:pt>
                <c:pt idx="24">
                  <c:v>41029</c:v>
                </c:pt>
                <c:pt idx="25">
                  <c:v>40999</c:v>
                </c:pt>
                <c:pt idx="26">
                  <c:v>40968</c:v>
                </c:pt>
                <c:pt idx="27">
                  <c:v>40939</c:v>
                </c:pt>
                <c:pt idx="28">
                  <c:v>40908</c:v>
                </c:pt>
                <c:pt idx="29">
                  <c:v>40877</c:v>
                </c:pt>
                <c:pt idx="30">
                  <c:v>40847</c:v>
                </c:pt>
                <c:pt idx="31">
                  <c:v>40816</c:v>
                </c:pt>
                <c:pt idx="32">
                  <c:v>40786</c:v>
                </c:pt>
                <c:pt idx="33">
                  <c:v>40755</c:v>
                </c:pt>
                <c:pt idx="34">
                  <c:v>40724</c:v>
                </c:pt>
                <c:pt idx="35">
                  <c:v>40694</c:v>
                </c:pt>
                <c:pt idx="36">
                  <c:v>40663</c:v>
                </c:pt>
                <c:pt idx="37">
                  <c:v>40633</c:v>
                </c:pt>
                <c:pt idx="38">
                  <c:v>40602</c:v>
                </c:pt>
                <c:pt idx="39">
                  <c:v>40574</c:v>
                </c:pt>
                <c:pt idx="40">
                  <c:v>40543</c:v>
                </c:pt>
                <c:pt idx="41">
                  <c:v>40512</c:v>
                </c:pt>
                <c:pt idx="42">
                  <c:v>40482</c:v>
                </c:pt>
                <c:pt idx="43">
                  <c:v>40451</c:v>
                </c:pt>
                <c:pt idx="44">
                  <c:v>40421</c:v>
                </c:pt>
                <c:pt idx="45">
                  <c:v>40390</c:v>
                </c:pt>
                <c:pt idx="46">
                  <c:v>40359</c:v>
                </c:pt>
              </c:numCache>
            </c:numRef>
          </c:cat>
          <c:val>
            <c:numRef>
              <c:f>国内锌产量、进出口量!$R$4:$R$50</c:f>
              <c:numCache>
                <c:formatCode>0.00%</c:formatCode>
                <c:ptCount val="47"/>
                <c:pt idx="0">
                  <c:v>0.39116274135370388</c:v>
                </c:pt>
                <c:pt idx="1">
                  <c:v>0.37407554284680694</c:v>
                </c:pt>
                <c:pt idx="2">
                  <c:v>0.84050895945118964</c:v>
                </c:pt>
                <c:pt idx="3">
                  <c:v>0.80759786796558464</c:v>
                </c:pt>
                <c:pt idx="4">
                  <c:v>0.21521774683426087</c:v>
                </c:pt>
                <c:pt idx="5">
                  <c:v>0.2603740384873694</c:v>
                </c:pt>
                <c:pt idx="6">
                  <c:v>0.19887819963047729</c:v>
                </c:pt>
                <c:pt idx="7">
                  <c:v>0.10558168663140099</c:v>
                </c:pt>
                <c:pt idx="8">
                  <c:v>0.17324854680031299</c:v>
                </c:pt>
                <c:pt idx="9">
                  <c:v>0.20235382088210621</c:v>
                </c:pt>
                <c:pt idx="10">
                  <c:v>0.27676525409154079</c:v>
                </c:pt>
                <c:pt idx="11">
                  <c:v>0.34164174509631429</c:v>
                </c:pt>
                <c:pt idx="12">
                  <c:v>0.17756554002985764</c:v>
                </c:pt>
                <c:pt idx="13">
                  <c:v>9.7307366379870211E-2</c:v>
                </c:pt>
                <c:pt idx="14">
                  <c:v>-0.18031429004748262</c:v>
                </c:pt>
                <c:pt idx="15">
                  <c:v>4.5062900298333305E-2</c:v>
                </c:pt>
                <c:pt idx="16">
                  <c:v>0.47584621573472885</c:v>
                </c:pt>
                <c:pt idx="17">
                  <c:v>0.5199292252203207</c:v>
                </c:pt>
                <c:pt idx="18">
                  <c:v>0.52137070768450899</c:v>
                </c:pt>
                <c:pt idx="19">
                  <c:v>0.55453690546715251</c:v>
                </c:pt>
                <c:pt idx="20">
                  <c:v>0.43583260058461593</c:v>
                </c:pt>
                <c:pt idx="21">
                  <c:v>0.36858292190366493</c:v>
                </c:pt>
                <c:pt idx="22">
                  <c:v>0.28461901321407124</c:v>
                </c:pt>
                <c:pt idx="23">
                  <c:v>0.28142016836321493</c:v>
                </c:pt>
                <c:pt idx="24">
                  <c:v>0.37002584421586038</c:v>
                </c:pt>
                <c:pt idx="25">
                  <c:v>0.50247186887051076</c:v>
                </c:pt>
                <c:pt idx="26">
                  <c:v>0.73116694268287763</c:v>
                </c:pt>
                <c:pt idx="27">
                  <c:v>0.46712680082522562</c:v>
                </c:pt>
                <c:pt idx="28">
                  <c:v>7.6281722199199639E-2</c:v>
                </c:pt>
                <c:pt idx="29">
                  <c:v>1.9980356293794924E-2</c:v>
                </c:pt>
                <c:pt idx="30">
                  <c:v>1.1665183218429014E-2</c:v>
                </c:pt>
                <c:pt idx="31">
                  <c:v>-5.9588031330044602E-3</c:v>
                </c:pt>
                <c:pt idx="32">
                  <c:v>-1.4829417218419044E-2</c:v>
                </c:pt>
                <c:pt idx="33">
                  <c:v>3.4304341951175592E-2</c:v>
                </c:pt>
                <c:pt idx="34">
                  <c:v>0.15782087178955367</c:v>
                </c:pt>
                <c:pt idx="35">
                  <c:v>0.15463137688703851</c:v>
                </c:pt>
                <c:pt idx="36">
                  <c:v>0.2655713558532703</c:v>
                </c:pt>
                <c:pt idx="37">
                  <c:v>0.43015797503239955</c:v>
                </c:pt>
                <c:pt idx="38">
                  <c:v>0.15446851173960691</c:v>
                </c:pt>
                <c:pt idx="39">
                  <c:v>0.12764784454492156</c:v>
                </c:pt>
                <c:pt idx="40">
                  <c:v>-0.51705700404302002</c:v>
                </c:pt>
                <c:pt idx="41">
                  <c:v>-0.55703875659138935</c:v>
                </c:pt>
                <c:pt idx="42">
                  <c:v>-0.5785561924017153</c:v>
                </c:pt>
                <c:pt idx="43">
                  <c:v>-0.59616040231959211</c:v>
                </c:pt>
                <c:pt idx="44">
                  <c:v>-0.62258929313029265</c:v>
                </c:pt>
                <c:pt idx="45">
                  <c:v>-0.66822142730389245</c:v>
                </c:pt>
                <c:pt idx="46">
                  <c:v>-0.69817836574576242</c:v>
                </c:pt>
              </c:numCache>
            </c:numRef>
          </c:val>
        </c:ser>
        <c:marker val="1"/>
        <c:axId val="122650624"/>
        <c:axId val="122648832"/>
      </c:lineChart>
      <c:dateAx>
        <c:axId val="122530816"/>
        <c:scaling>
          <c:orientation val="minMax"/>
        </c:scaling>
        <c:axPos val="b"/>
        <c:numFmt formatCode="yyyy\-mm;@" sourceLinked="1"/>
        <c:tickLblPos val="nextTo"/>
        <c:txPr>
          <a:bodyPr/>
          <a:lstStyle/>
          <a:p>
            <a:pPr>
              <a:defRPr sz="800"/>
            </a:pPr>
            <a:endParaRPr lang="zh-CN"/>
          </a:p>
        </c:txPr>
        <c:crossAx val="122647296"/>
        <c:crosses val="autoZero"/>
        <c:auto val="1"/>
        <c:lblOffset val="100"/>
      </c:dateAx>
      <c:valAx>
        <c:axId val="122647296"/>
        <c:scaling>
          <c:orientation val="minMax"/>
        </c:scaling>
        <c:axPos val="l"/>
        <c:majorGridlines/>
        <c:numFmt formatCode="General" sourceLinked="0"/>
        <c:tickLblPos val="nextTo"/>
        <c:txPr>
          <a:bodyPr/>
          <a:lstStyle/>
          <a:p>
            <a:pPr>
              <a:defRPr sz="800"/>
            </a:pPr>
            <a:endParaRPr lang="zh-CN"/>
          </a:p>
        </c:txPr>
        <c:crossAx val="122530816"/>
        <c:crosses val="autoZero"/>
        <c:crossBetween val="between"/>
      </c:valAx>
      <c:valAx>
        <c:axId val="122648832"/>
        <c:scaling>
          <c:orientation val="minMax"/>
        </c:scaling>
        <c:axPos val="r"/>
        <c:numFmt formatCode="0%" sourceLinked="0"/>
        <c:tickLblPos val="nextTo"/>
        <c:txPr>
          <a:bodyPr/>
          <a:lstStyle/>
          <a:p>
            <a:pPr>
              <a:defRPr sz="800"/>
            </a:pPr>
            <a:endParaRPr lang="zh-CN"/>
          </a:p>
        </c:txPr>
        <c:crossAx val="122650624"/>
        <c:crosses val="max"/>
        <c:crossBetween val="between"/>
      </c:valAx>
      <c:dateAx>
        <c:axId val="122650624"/>
        <c:scaling>
          <c:orientation val="minMax"/>
        </c:scaling>
        <c:delete val="1"/>
        <c:axPos val="b"/>
        <c:numFmt formatCode="yyyy\-mm;@" sourceLinked="1"/>
        <c:tickLblPos val="none"/>
        <c:crossAx val="122648832"/>
        <c:crosses val="autoZero"/>
        <c:auto val="1"/>
        <c:lblOffset val="100"/>
      </c:dateAx>
    </c:plotArea>
    <c:legend>
      <c:legendPos val="t"/>
      <c:layout>
        <c:manualLayout>
          <c:xMode val="edge"/>
          <c:yMode val="edge"/>
          <c:x val="0.22111963628536371"/>
          <c:y val="5.0468342242121914E-3"/>
          <c:w val="0.58226229688019759"/>
          <c:h val="0.12448433871966982"/>
        </c:manualLayout>
      </c:layout>
      <c:txPr>
        <a:bodyPr/>
        <a:lstStyle/>
        <a:p>
          <a:pPr>
            <a:defRPr sz="800"/>
          </a:pPr>
          <a:endParaRPr lang="zh-CN"/>
        </a:p>
      </c:txPr>
    </c:legend>
    <c:plotVisOnly val="1"/>
    <c:dispBlanksAs val="gap"/>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903191000550941"/>
          <c:y val="0.11589151165273515"/>
          <c:w val="0.86774252541439245"/>
          <c:h val="0.62965819851605864"/>
        </c:manualLayout>
      </c:layout>
      <c:barChart>
        <c:barDir val="col"/>
        <c:grouping val="clustered"/>
        <c:ser>
          <c:idx val="0"/>
          <c:order val="0"/>
          <c:tx>
            <c:v>重点企业产量累计值（万吨）</c:v>
          </c:tx>
          <c:cat>
            <c:numRef>
              <c:f>锌下游!$A$4:$A$69</c:f>
              <c:numCache>
                <c:formatCode>yyyy\-mm;@</c:formatCode>
                <c:ptCount val="66"/>
                <c:pt idx="0">
                  <c:v>41729</c:v>
                </c:pt>
                <c:pt idx="1">
                  <c:v>41698</c:v>
                </c:pt>
                <c:pt idx="2">
                  <c:v>41670</c:v>
                </c:pt>
                <c:pt idx="3">
                  <c:v>41639</c:v>
                </c:pt>
                <c:pt idx="4">
                  <c:v>41608</c:v>
                </c:pt>
                <c:pt idx="5">
                  <c:v>41578</c:v>
                </c:pt>
                <c:pt idx="6">
                  <c:v>41547</c:v>
                </c:pt>
                <c:pt idx="7">
                  <c:v>41517</c:v>
                </c:pt>
                <c:pt idx="8">
                  <c:v>41486</c:v>
                </c:pt>
                <c:pt idx="9">
                  <c:v>41455</c:v>
                </c:pt>
                <c:pt idx="10">
                  <c:v>41425</c:v>
                </c:pt>
                <c:pt idx="11">
                  <c:v>41394</c:v>
                </c:pt>
                <c:pt idx="12">
                  <c:v>41364</c:v>
                </c:pt>
                <c:pt idx="13">
                  <c:v>41333</c:v>
                </c:pt>
                <c:pt idx="14">
                  <c:v>41305</c:v>
                </c:pt>
                <c:pt idx="15">
                  <c:v>41274</c:v>
                </c:pt>
                <c:pt idx="16">
                  <c:v>41243</c:v>
                </c:pt>
                <c:pt idx="17">
                  <c:v>41213</c:v>
                </c:pt>
                <c:pt idx="18">
                  <c:v>41182</c:v>
                </c:pt>
                <c:pt idx="19">
                  <c:v>41152</c:v>
                </c:pt>
                <c:pt idx="20">
                  <c:v>41121</c:v>
                </c:pt>
                <c:pt idx="21">
                  <c:v>41090</c:v>
                </c:pt>
                <c:pt idx="22">
                  <c:v>41060</c:v>
                </c:pt>
                <c:pt idx="23">
                  <c:v>41029</c:v>
                </c:pt>
                <c:pt idx="24">
                  <c:v>40999</c:v>
                </c:pt>
                <c:pt idx="25">
                  <c:v>40968</c:v>
                </c:pt>
                <c:pt idx="26">
                  <c:v>40939</c:v>
                </c:pt>
                <c:pt idx="27">
                  <c:v>40908</c:v>
                </c:pt>
                <c:pt idx="28">
                  <c:v>40877</c:v>
                </c:pt>
                <c:pt idx="29">
                  <c:v>40847</c:v>
                </c:pt>
                <c:pt idx="30">
                  <c:v>40816</c:v>
                </c:pt>
                <c:pt idx="31">
                  <c:v>40786</c:v>
                </c:pt>
                <c:pt idx="32">
                  <c:v>40755</c:v>
                </c:pt>
                <c:pt idx="33">
                  <c:v>40724</c:v>
                </c:pt>
                <c:pt idx="34">
                  <c:v>40694</c:v>
                </c:pt>
                <c:pt idx="35">
                  <c:v>40663</c:v>
                </c:pt>
                <c:pt idx="36">
                  <c:v>40633</c:v>
                </c:pt>
                <c:pt idx="37">
                  <c:v>40602</c:v>
                </c:pt>
                <c:pt idx="38">
                  <c:v>40574</c:v>
                </c:pt>
                <c:pt idx="39">
                  <c:v>40543</c:v>
                </c:pt>
                <c:pt idx="40">
                  <c:v>40512</c:v>
                </c:pt>
                <c:pt idx="41">
                  <c:v>40482</c:v>
                </c:pt>
                <c:pt idx="42">
                  <c:v>40451</c:v>
                </c:pt>
                <c:pt idx="43">
                  <c:v>40421</c:v>
                </c:pt>
                <c:pt idx="44">
                  <c:v>40390</c:v>
                </c:pt>
                <c:pt idx="45">
                  <c:v>40359</c:v>
                </c:pt>
                <c:pt idx="46">
                  <c:v>40329</c:v>
                </c:pt>
                <c:pt idx="47">
                  <c:v>40298</c:v>
                </c:pt>
                <c:pt idx="48">
                  <c:v>40268</c:v>
                </c:pt>
                <c:pt idx="49">
                  <c:v>40237</c:v>
                </c:pt>
                <c:pt idx="50">
                  <c:v>40209</c:v>
                </c:pt>
                <c:pt idx="51">
                  <c:v>40178</c:v>
                </c:pt>
                <c:pt idx="52">
                  <c:v>40147</c:v>
                </c:pt>
                <c:pt idx="53">
                  <c:v>40117</c:v>
                </c:pt>
                <c:pt idx="54">
                  <c:v>40086</c:v>
                </c:pt>
                <c:pt idx="55">
                  <c:v>40056</c:v>
                </c:pt>
                <c:pt idx="56">
                  <c:v>40025</c:v>
                </c:pt>
                <c:pt idx="57">
                  <c:v>39994</c:v>
                </c:pt>
                <c:pt idx="58">
                  <c:v>39964</c:v>
                </c:pt>
                <c:pt idx="59">
                  <c:v>39933</c:v>
                </c:pt>
                <c:pt idx="60">
                  <c:v>39903</c:v>
                </c:pt>
                <c:pt idx="61">
                  <c:v>39872</c:v>
                </c:pt>
                <c:pt idx="62">
                  <c:v>39844</c:v>
                </c:pt>
                <c:pt idx="63">
                  <c:v>39813</c:v>
                </c:pt>
                <c:pt idx="64">
                  <c:v>39782</c:v>
                </c:pt>
                <c:pt idx="65">
                  <c:v>39752</c:v>
                </c:pt>
              </c:numCache>
            </c:numRef>
          </c:cat>
          <c:val>
            <c:numRef>
              <c:f>锌下游!$B$4:$B$69</c:f>
              <c:numCache>
                <c:formatCode>###,###,###,###,##0.00</c:formatCode>
                <c:ptCount val="66"/>
                <c:pt idx="0">
                  <c:v>432.38690000000003</c:v>
                </c:pt>
                <c:pt idx="1">
                  <c:v>282.62400000000002</c:v>
                </c:pt>
                <c:pt idx="2">
                  <c:v>145.74779999999998</c:v>
                </c:pt>
                <c:pt idx="3">
                  <c:v>1592.8728999999998</c:v>
                </c:pt>
                <c:pt idx="4">
                  <c:v>1453.4540999999999</c:v>
                </c:pt>
                <c:pt idx="5">
                  <c:v>1323.0022999999999</c:v>
                </c:pt>
                <c:pt idx="6">
                  <c:v>1189.7543999999998</c:v>
                </c:pt>
                <c:pt idx="7">
                  <c:v>1055.3447999999999</c:v>
                </c:pt>
                <c:pt idx="8">
                  <c:v>917.71280000000002</c:v>
                </c:pt>
                <c:pt idx="9">
                  <c:v>788.46769999999765</c:v>
                </c:pt>
                <c:pt idx="10">
                  <c:v>658.83789999999817</c:v>
                </c:pt>
                <c:pt idx="11">
                  <c:v>525.20650000000001</c:v>
                </c:pt>
                <c:pt idx="12">
                  <c:v>393.5086</c:v>
                </c:pt>
                <c:pt idx="13">
                  <c:v>255.25549999999998</c:v>
                </c:pt>
                <c:pt idx="14">
                  <c:v>132.01319999999998</c:v>
                </c:pt>
                <c:pt idx="15">
                  <c:v>1486.731</c:v>
                </c:pt>
                <c:pt idx="16">
                  <c:v>1358.7012999999999</c:v>
                </c:pt>
                <c:pt idx="17">
                  <c:v>1231.2636</c:v>
                </c:pt>
                <c:pt idx="18">
                  <c:v>1098.7605000000001</c:v>
                </c:pt>
                <c:pt idx="19">
                  <c:v>982.00009999999997</c:v>
                </c:pt>
                <c:pt idx="20">
                  <c:v>854.12380000000053</c:v>
                </c:pt>
                <c:pt idx="21">
                  <c:v>726.46619999999768</c:v>
                </c:pt>
                <c:pt idx="22">
                  <c:v>602.19420000000002</c:v>
                </c:pt>
                <c:pt idx="23">
                  <c:v>470.1782</c:v>
                </c:pt>
                <c:pt idx="24">
                  <c:v>349.60289999999998</c:v>
                </c:pt>
                <c:pt idx="25">
                  <c:v>226.18770000000001</c:v>
                </c:pt>
                <c:pt idx="26">
                  <c:v>115.83880000000001</c:v>
                </c:pt>
                <c:pt idx="27">
                  <c:v>1426.9623999999999</c:v>
                </c:pt>
                <c:pt idx="28">
                  <c:v>1309.8182999999999</c:v>
                </c:pt>
                <c:pt idx="29">
                  <c:v>1195.1399999999999</c:v>
                </c:pt>
                <c:pt idx="30">
                  <c:v>1075.5872999999999</c:v>
                </c:pt>
                <c:pt idx="31">
                  <c:v>953.64709999999855</c:v>
                </c:pt>
                <c:pt idx="32">
                  <c:v>825.66229999999769</c:v>
                </c:pt>
                <c:pt idx="33">
                  <c:v>703.38159999999948</c:v>
                </c:pt>
                <c:pt idx="34">
                  <c:v>589.87170000000003</c:v>
                </c:pt>
                <c:pt idx="35">
                  <c:v>467.66230000000002</c:v>
                </c:pt>
                <c:pt idx="36">
                  <c:v>352.91090000000003</c:v>
                </c:pt>
                <c:pt idx="37">
                  <c:v>232.89180000000007</c:v>
                </c:pt>
                <c:pt idx="38">
                  <c:v>115.09739999999999</c:v>
                </c:pt>
                <c:pt idx="39">
                  <c:v>1245.0005000000001</c:v>
                </c:pt>
                <c:pt idx="40">
                  <c:v>1116.9564</c:v>
                </c:pt>
                <c:pt idx="41">
                  <c:v>1006.8517000000001</c:v>
                </c:pt>
                <c:pt idx="42">
                  <c:v>913.39269999999817</c:v>
                </c:pt>
                <c:pt idx="43">
                  <c:v>807.49800000000005</c:v>
                </c:pt>
                <c:pt idx="44">
                  <c:v>702.95099999999854</c:v>
                </c:pt>
                <c:pt idx="45">
                  <c:v>607.77340000000208</c:v>
                </c:pt>
                <c:pt idx="46">
                  <c:v>514.04219999999805</c:v>
                </c:pt>
                <c:pt idx="47">
                  <c:v>385.96099999999927</c:v>
                </c:pt>
                <c:pt idx="48">
                  <c:v>279.98709999999909</c:v>
                </c:pt>
                <c:pt idx="49">
                  <c:v>180.27959999999959</c:v>
                </c:pt>
                <c:pt idx="50">
                  <c:v>92.781000000000006</c:v>
                </c:pt>
                <c:pt idx="51">
                  <c:v>775.43979999999999</c:v>
                </c:pt>
                <c:pt idx="52">
                  <c:v>693.75519999999949</c:v>
                </c:pt>
                <c:pt idx="53">
                  <c:v>613.49030000000005</c:v>
                </c:pt>
                <c:pt idx="54">
                  <c:v>535.62950000000001</c:v>
                </c:pt>
                <c:pt idx="55">
                  <c:v>463.72349999999915</c:v>
                </c:pt>
                <c:pt idx="56">
                  <c:v>387.97499999999928</c:v>
                </c:pt>
                <c:pt idx="57">
                  <c:v>317.53949999999969</c:v>
                </c:pt>
                <c:pt idx="58">
                  <c:v>255.96940000000001</c:v>
                </c:pt>
                <c:pt idx="59">
                  <c:v>200.4025</c:v>
                </c:pt>
                <c:pt idx="60">
                  <c:v>155.7544</c:v>
                </c:pt>
                <c:pt idx="61">
                  <c:v>103.8456</c:v>
                </c:pt>
                <c:pt idx="62">
                  <c:v>54.743500000000012</c:v>
                </c:pt>
                <c:pt idx="63">
                  <c:v>671.66619999999818</c:v>
                </c:pt>
                <c:pt idx="64">
                  <c:v>621.20280000000002</c:v>
                </c:pt>
                <c:pt idx="65">
                  <c:v>599.61569999999949</c:v>
                </c:pt>
              </c:numCache>
            </c:numRef>
          </c:val>
        </c:ser>
        <c:axId val="122664832"/>
        <c:axId val="122666368"/>
      </c:barChart>
      <c:dateAx>
        <c:axId val="122664832"/>
        <c:scaling>
          <c:orientation val="minMax"/>
        </c:scaling>
        <c:axPos val="b"/>
        <c:numFmt formatCode="yyyy\-mm;@" sourceLinked="1"/>
        <c:tickLblPos val="nextTo"/>
        <c:crossAx val="122666368"/>
        <c:crosses val="autoZero"/>
        <c:auto val="1"/>
        <c:lblOffset val="100"/>
      </c:dateAx>
      <c:valAx>
        <c:axId val="122666368"/>
        <c:scaling>
          <c:orientation val="minMax"/>
        </c:scaling>
        <c:axPos val="l"/>
        <c:majorGridlines/>
        <c:numFmt formatCode="General" sourceLinked="0"/>
        <c:tickLblPos val="nextTo"/>
        <c:crossAx val="122664832"/>
        <c:crosses val="autoZero"/>
        <c:crossBetween val="between"/>
      </c:valAx>
    </c:plotArea>
    <c:legend>
      <c:legendPos val="t"/>
      <c:layout>
        <c:manualLayout>
          <c:xMode val="edge"/>
          <c:yMode val="edge"/>
          <c:x val="0.29796456272616983"/>
          <c:y val="0"/>
          <c:w val="0.48826331755244684"/>
          <c:h val="0.11246057515559173"/>
        </c:manualLayout>
      </c:layout>
    </c:legend>
    <c:plotVisOnly val="1"/>
  </c:chart>
  <c:spPr>
    <a:ln>
      <a:noFill/>
    </a:ln>
  </c:spPr>
  <c:externalData r:id="rId1"/>
</c:chartSpace>
</file>

<file path=word/drawings/_rels/drawing4.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0.91525</cdr:y>
    </cdr:from>
    <cdr:to>
      <cdr:x>0</cdr:x>
      <cdr:y>0.92029</cdr:y>
    </cdr:to>
    <cdr:sp macro="" textlink="">
      <cdr:nvSpPr>
        <cdr:cNvPr id="3" name="TextBox 1"/>
        <cdr:cNvSpPr txBox="1"/>
      </cdr:nvSpPr>
      <cdr:spPr>
        <a:xfrm xmlns:a="http://schemas.openxmlformats.org/drawingml/2006/main">
          <a:off x="0" y="2295525"/>
          <a:ext cx="1828800" cy="19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1000" b="1"/>
            <a:t>资料来源：路透，金源期货</a:t>
          </a:r>
        </a:p>
      </cdr:txBody>
    </cdr:sp>
  </cdr:relSizeAnchor>
  <cdr:relSizeAnchor xmlns:cdr="http://schemas.openxmlformats.org/drawingml/2006/chartDrawing">
    <cdr:from>
      <cdr:x>0.27712</cdr:x>
      <cdr:y>0</cdr:y>
    </cdr:from>
    <cdr:to>
      <cdr:x>0.7941</cdr:x>
      <cdr:y>0.10274</cdr:y>
    </cdr:to>
    <cdr:sp macro="" textlink="">
      <cdr:nvSpPr>
        <cdr:cNvPr id="28674" name="TextBox 1"/>
        <cdr:cNvSpPr txBox="1">
          <a:spLocks xmlns:a="http://schemas.openxmlformats.org/drawingml/2006/main" noChangeArrowheads="1"/>
        </cdr:cNvSpPr>
      </cdr:nvSpPr>
      <cdr:spPr bwMode="auto">
        <a:xfrm xmlns:a="http://schemas.openxmlformats.org/drawingml/2006/main">
          <a:off x="953413" y="1422"/>
          <a:ext cx="1772721" cy="2603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endParaRPr lang="zh-CN" altLang="en-US" sz="1050" b="1" i="0" u="none" strike="noStrike" baseline="0">
            <a:solidFill>
              <a:srgbClr val="000000"/>
            </a:solidFill>
            <a:latin typeface="宋体"/>
            <a:ea typeface="宋体"/>
          </a:endParaRPr>
        </a:p>
      </cdr:txBody>
    </cdr:sp>
  </cdr:relSizeAnchor>
  <cdr:relSizeAnchor xmlns:cdr="http://schemas.openxmlformats.org/drawingml/2006/chartDrawing">
    <cdr:from>
      <cdr:x>0.87173</cdr:x>
      <cdr:y>0.04151</cdr:y>
    </cdr:from>
    <cdr:to>
      <cdr:x>0.99278</cdr:x>
      <cdr:y>0.13585</cdr:y>
    </cdr:to>
    <cdr:sp macro="" textlink="">
      <cdr:nvSpPr>
        <cdr:cNvPr id="7" name="TextBox 8"/>
        <cdr:cNvSpPr txBox="1"/>
      </cdr:nvSpPr>
      <cdr:spPr>
        <a:xfrm xmlns:a="http://schemas.openxmlformats.org/drawingml/2006/main">
          <a:off x="2981325" y="104775"/>
          <a:ext cx="413972" cy="2381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t>美元</a:t>
          </a:r>
        </a:p>
      </cdr:txBody>
    </cdr:sp>
  </cdr:relSizeAnchor>
  <cdr:relSizeAnchor xmlns:cdr="http://schemas.openxmlformats.org/drawingml/2006/chartDrawing">
    <cdr:from>
      <cdr:x>0.01444</cdr:x>
      <cdr:y>0.04637</cdr:y>
    </cdr:from>
    <cdr:to>
      <cdr:x>0.09747</cdr:x>
      <cdr:y>0.14717</cdr:y>
    </cdr:to>
    <cdr:sp macro="" textlink="">
      <cdr:nvSpPr>
        <cdr:cNvPr id="8" name="TextBox 1"/>
        <cdr:cNvSpPr txBox="1"/>
      </cdr:nvSpPr>
      <cdr:spPr>
        <a:xfrm xmlns:a="http://schemas.openxmlformats.org/drawingml/2006/main">
          <a:off x="49377" y="117043"/>
          <a:ext cx="283919" cy="2544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t>吨</a:t>
          </a:r>
        </a:p>
      </cdr:txBody>
    </cdr:sp>
  </cdr:relSizeAnchor>
  <cdr:relSizeAnchor xmlns:cdr="http://schemas.openxmlformats.org/drawingml/2006/chartDrawing">
    <cdr:from>
      <cdr:x>0</cdr:x>
      <cdr:y>0.90637</cdr:y>
    </cdr:from>
    <cdr:to>
      <cdr:x>0.62396</cdr:x>
      <cdr:y>1</cdr:y>
    </cdr:to>
    <cdr:sp macro="" textlink="">
      <cdr:nvSpPr>
        <cdr:cNvPr id="9" name="TextBox 1"/>
        <cdr:cNvSpPr txBox="1"/>
      </cdr:nvSpPr>
      <cdr:spPr>
        <a:xfrm xmlns:a="http://schemas.openxmlformats.org/drawingml/2006/main">
          <a:off x="0" y="2886075"/>
          <a:ext cx="2133616" cy="2363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zh-CN" altLang="en-US" sz="1000" b="0">
            <a:latin typeface="Arial" pitchFamily="34" charset="0"/>
            <a:cs typeface="Arial"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0.02292</cdr:x>
      <cdr:y>0.03819</cdr:y>
    </cdr:from>
    <cdr:to>
      <cdr:x>0.13524</cdr:x>
      <cdr:y>0.125</cdr:y>
    </cdr:to>
    <cdr:sp macro="" textlink="">
      <cdr:nvSpPr>
        <cdr:cNvPr id="2" name="TextBox 1"/>
        <cdr:cNvSpPr txBox="1"/>
      </cdr:nvSpPr>
      <cdr:spPr>
        <a:xfrm xmlns:a="http://schemas.openxmlformats.org/drawingml/2006/main">
          <a:off x="88024" y="92750"/>
          <a:ext cx="431355" cy="21083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800"/>
            <a:t>万吨</a:t>
          </a:r>
        </a:p>
      </cdr:txBody>
    </cdr:sp>
  </cdr:relSizeAnchor>
  <cdr:relSizeAnchor xmlns:cdr="http://schemas.openxmlformats.org/drawingml/2006/chartDrawing">
    <cdr:from>
      <cdr:x>0.90833</cdr:x>
      <cdr:y>0.04861</cdr:y>
    </cdr:from>
    <cdr:to>
      <cdr:x>0.96875</cdr:x>
      <cdr:y>0.13194</cdr:y>
    </cdr:to>
    <cdr:sp macro="" textlink="">
      <cdr:nvSpPr>
        <cdr:cNvPr id="3" name="TextBox 2"/>
        <cdr:cNvSpPr txBox="1"/>
      </cdr:nvSpPr>
      <cdr:spPr>
        <a:xfrm xmlns:a="http://schemas.openxmlformats.org/drawingml/2006/main">
          <a:off x="4152899" y="133350"/>
          <a:ext cx="276225"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900"/>
            <a:t>%</a:t>
          </a:r>
          <a:endParaRPr lang="zh-CN" altLang="en-US" sz="900"/>
        </a:p>
      </cdr:txBody>
    </cdr:sp>
  </cdr:relSizeAnchor>
</c:userShapes>
</file>

<file path=word/drawings/drawing11.xml><?xml version="1.0" encoding="utf-8"?>
<c:userShapes xmlns:c="http://schemas.openxmlformats.org/drawingml/2006/chart">
  <cdr:relSizeAnchor xmlns:cdr="http://schemas.openxmlformats.org/drawingml/2006/chartDrawing">
    <cdr:from>
      <cdr:x>0.0284</cdr:x>
      <cdr:y>0.05935</cdr:y>
    </cdr:from>
    <cdr:to>
      <cdr:x>0.14604</cdr:x>
      <cdr:y>0.15727</cdr:y>
    </cdr:to>
    <cdr:sp macro="" textlink="">
      <cdr:nvSpPr>
        <cdr:cNvPr id="2" name="TextBox 1"/>
        <cdr:cNvSpPr txBox="1"/>
      </cdr:nvSpPr>
      <cdr:spPr>
        <a:xfrm xmlns:a="http://schemas.openxmlformats.org/drawingml/2006/main">
          <a:off x="102413" y="146304"/>
          <a:ext cx="424282" cy="2414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800"/>
            <a:t>万吨</a:t>
          </a:r>
        </a:p>
      </cdr:txBody>
    </cdr:sp>
  </cdr:relSizeAnchor>
  <cdr:relSizeAnchor xmlns:cdr="http://schemas.openxmlformats.org/drawingml/2006/chartDrawing">
    <cdr:from>
      <cdr:x>0.86613</cdr:x>
      <cdr:y>0.05935</cdr:y>
    </cdr:from>
    <cdr:to>
      <cdr:x>0.97972</cdr:x>
      <cdr:y>0.16024</cdr:y>
    </cdr:to>
    <cdr:sp macro="" textlink="">
      <cdr:nvSpPr>
        <cdr:cNvPr id="3" name="TextBox 2"/>
        <cdr:cNvSpPr txBox="1"/>
      </cdr:nvSpPr>
      <cdr:spPr>
        <a:xfrm xmlns:a="http://schemas.openxmlformats.org/drawingml/2006/main" flipV="1">
          <a:off x="3123590" y="146304"/>
          <a:ext cx="409651" cy="2487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900"/>
            <a:t>%</a:t>
          </a:r>
          <a:endParaRPr lang="zh-CN" altLang="en-US" sz="900"/>
        </a:p>
      </cdr:txBody>
    </cdr:sp>
  </cdr:relSizeAnchor>
</c:userShapes>
</file>

<file path=word/drawings/drawing12.xml><?xml version="1.0" encoding="utf-8"?>
<c:userShapes xmlns:c="http://schemas.openxmlformats.org/drawingml/2006/chart">
  <cdr:relSizeAnchor xmlns:cdr="http://schemas.openxmlformats.org/drawingml/2006/chartDrawing">
    <cdr:from>
      <cdr:x>0.04605</cdr:x>
      <cdr:y>0.03312</cdr:y>
    </cdr:from>
    <cdr:to>
      <cdr:x>0.12741</cdr:x>
      <cdr:y>0.12198</cdr:y>
    </cdr:to>
    <cdr:sp macro="" textlink="">
      <cdr:nvSpPr>
        <cdr:cNvPr id="2" name="TextBox 1"/>
        <cdr:cNvSpPr txBox="1"/>
      </cdr:nvSpPr>
      <cdr:spPr>
        <a:xfrm xmlns:a="http://schemas.openxmlformats.org/drawingml/2006/main">
          <a:off x="210283" y="92319"/>
          <a:ext cx="371475"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800"/>
            <a:t>吨</a:t>
          </a:r>
        </a:p>
      </cdr:txBody>
    </cdr:sp>
  </cdr:relSizeAnchor>
</c:userShapes>
</file>

<file path=word/drawings/drawing13.xml><?xml version="1.0" encoding="utf-8"?>
<c:userShapes xmlns:c="http://schemas.openxmlformats.org/drawingml/2006/chart">
  <cdr:relSizeAnchor xmlns:cdr="http://schemas.openxmlformats.org/drawingml/2006/chartDrawing">
    <cdr:from>
      <cdr:x>0.02899</cdr:x>
      <cdr:y>0.02115</cdr:y>
    </cdr:from>
    <cdr:to>
      <cdr:x>0.11957</cdr:x>
      <cdr:y>0.12387</cdr:y>
    </cdr:to>
    <cdr:sp macro="" textlink="">
      <cdr:nvSpPr>
        <cdr:cNvPr id="2" name="TextBox 1"/>
        <cdr:cNvSpPr txBox="1"/>
      </cdr:nvSpPr>
      <cdr:spPr>
        <a:xfrm xmlns:a="http://schemas.openxmlformats.org/drawingml/2006/main">
          <a:off x="132522" y="57978"/>
          <a:ext cx="414131" cy="28160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800"/>
            <a:t>吨</a:t>
          </a:r>
        </a:p>
      </cdr:txBody>
    </cdr:sp>
  </cdr:relSizeAnchor>
</c:userShapes>
</file>

<file path=word/drawings/drawing14.xml><?xml version="1.0" encoding="utf-8"?>
<c:userShapes xmlns:c="http://schemas.openxmlformats.org/drawingml/2006/chart">
  <cdr:relSizeAnchor xmlns:cdr="http://schemas.openxmlformats.org/drawingml/2006/chartDrawing">
    <cdr:from>
      <cdr:x>0.01149</cdr:x>
      <cdr:y>0.03819</cdr:y>
    </cdr:from>
    <cdr:to>
      <cdr:x>0.17433</cdr:x>
      <cdr:y>0.12847</cdr:y>
    </cdr:to>
    <cdr:sp macro="" textlink="">
      <cdr:nvSpPr>
        <cdr:cNvPr id="2" name="TextBox 1"/>
        <cdr:cNvSpPr txBox="1"/>
      </cdr:nvSpPr>
      <cdr:spPr>
        <a:xfrm xmlns:a="http://schemas.openxmlformats.org/drawingml/2006/main">
          <a:off x="43892" y="101410"/>
          <a:ext cx="621792" cy="2397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800"/>
            <a:t>千伏安时</a:t>
          </a:r>
        </a:p>
      </cdr:txBody>
    </cdr:sp>
  </cdr:relSizeAnchor>
  <cdr:relSizeAnchor xmlns:cdr="http://schemas.openxmlformats.org/drawingml/2006/chartDrawing">
    <cdr:from>
      <cdr:x>0.90421</cdr:x>
      <cdr:y>0.04861</cdr:y>
    </cdr:from>
    <cdr:to>
      <cdr:x>0.974</cdr:x>
      <cdr:y>0.13194</cdr:y>
    </cdr:to>
    <cdr:sp macro="" textlink="">
      <cdr:nvSpPr>
        <cdr:cNvPr id="3" name="TextBox 2"/>
        <cdr:cNvSpPr txBox="1"/>
      </cdr:nvSpPr>
      <cdr:spPr>
        <a:xfrm xmlns:a="http://schemas.openxmlformats.org/drawingml/2006/main">
          <a:off x="3452776" y="129080"/>
          <a:ext cx="266478" cy="2212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900"/>
            <a:t>%</a:t>
          </a:r>
          <a:endParaRPr lang="zh-CN" altLang="en-US" sz="900"/>
        </a:p>
      </cdr:txBody>
    </cdr:sp>
  </cdr:relSizeAnchor>
</c:userShapes>
</file>

<file path=word/drawings/drawing15.xml><?xml version="1.0" encoding="utf-8"?>
<c:userShapes xmlns:c="http://schemas.openxmlformats.org/drawingml/2006/chart">
  <cdr:relSizeAnchor xmlns:cdr="http://schemas.openxmlformats.org/drawingml/2006/chartDrawing">
    <cdr:from>
      <cdr:x>0.02292</cdr:x>
      <cdr:y>0.0625</cdr:y>
    </cdr:from>
    <cdr:to>
      <cdr:x>0.15</cdr:x>
      <cdr:y>0.14236</cdr:y>
    </cdr:to>
    <cdr:sp macro="" textlink="">
      <cdr:nvSpPr>
        <cdr:cNvPr id="2" name="TextBox 1"/>
        <cdr:cNvSpPr txBox="1"/>
      </cdr:nvSpPr>
      <cdr:spPr>
        <a:xfrm xmlns:a="http://schemas.openxmlformats.org/drawingml/2006/main">
          <a:off x="104776" y="171450"/>
          <a:ext cx="581024"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700"/>
            <a:t>万信道</a:t>
          </a:r>
        </a:p>
      </cdr:txBody>
    </cdr:sp>
  </cdr:relSizeAnchor>
  <cdr:relSizeAnchor xmlns:cdr="http://schemas.openxmlformats.org/drawingml/2006/chartDrawing">
    <cdr:from>
      <cdr:x>0.8625</cdr:x>
      <cdr:y>0.07292</cdr:y>
    </cdr:from>
    <cdr:to>
      <cdr:x>0.9625</cdr:x>
      <cdr:y>0.15278</cdr:y>
    </cdr:to>
    <cdr:sp macro="" textlink="">
      <cdr:nvSpPr>
        <cdr:cNvPr id="3" name="TextBox 2"/>
        <cdr:cNvSpPr txBox="1"/>
      </cdr:nvSpPr>
      <cdr:spPr>
        <a:xfrm xmlns:a="http://schemas.openxmlformats.org/drawingml/2006/main">
          <a:off x="3943350" y="200026"/>
          <a:ext cx="457200" cy="2190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800"/>
            <a:t>     %</a:t>
          </a:r>
          <a:endParaRPr lang="zh-CN" alt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0.91525</cdr:y>
    </cdr:from>
    <cdr:to>
      <cdr:x>0</cdr:x>
      <cdr:y>0.92029</cdr:y>
    </cdr:to>
    <cdr:sp macro="" textlink="">
      <cdr:nvSpPr>
        <cdr:cNvPr id="3" name="TextBox 1"/>
        <cdr:cNvSpPr txBox="1"/>
      </cdr:nvSpPr>
      <cdr:spPr>
        <a:xfrm xmlns:a="http://schemas.openxmlformats.org/drawingml/2006/main">
          <a:off x="0" y="2295525"/>
          <a:ext cx="1828800" cy="19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1000" b="1"/>
            <a:t>资料来源：路透，金源期货</a:t>
          </a:r>
        </a:p>
      </cdr:txBody>
    </cdr:sp>
  </cdr:relSizeAnchor>
  <cdr:relSizeAnchor xmlns:cdr="http://schemas.openxmlformats.org/drawingml/2006/chartDrawing">
    <cdr:from>
      <cdr:x>0.27798</cdr:x>
      <cdr:y>0</cdr:y>
    </cdr:from>
    <cdr:to>
      <cdr:x>0.80768</cdr:x>
      <cdr:y>0.10566</cdr:y>
    </cdr:to>
    <cdr:sp macro="" textlink="">
      <cdr:nvSpPr>
        <cdr:cNvPr id="4" name="TextBox 1"/>
        <cdr:cNvSpPr txBox="1"/>
      </cdr:nvSpPr>
      <cdr:spPr>
        <a:xfrm xmlns:a="http://schemas.openxmlformats.org/drawingml/2006/main">
          <a:off x="950692" y="0"/>
          <a:ext cx="1811558" cy="26669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zh-CN" altLang="en-US" sz="1050" b="1"/>
        </a:p>
      </cdr:txBody>
    </cdr:sp>
  </cdr:relSizeAnchor>
  <cdr:relSizeAnchor xmlns:cdr="http://schemas.openxmlformats.org/drawingml/2006/chartDrawing">
    <cdr:from>
      <cdr:x>0.89958</cdr:x>
      <cdr:y>0.04151</cdr:y>
    </cdr:from>
    <cdr:to>
      <cdr:x>0.99278</cdr:x>
      <cdr:y>0.13585</cdr:y>
    </cdr:to>
    <cdr:sp macro="" textlink="">
      <cdr:nvSpPr>
        <cdr:cNvPr id="7" name="TextBox 8"/>
        <cdr:cNvSpPr txBox="1"/>
      </cdr:nvSpPr>
      <cdr:spPr>
        <a:xfrm xmlns:a="http://schemas.openxmlformats.org/drawingml/2006/main">
          <a:off x="3076575" y="104776"/>
          <a:ext cx="318733" cy="2381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900"/>
            <a:t>%</a:t>
          </a:r>
          <a:endParaRPr lang="zh-CN" altLang="en-US" sz="900"/>
        </a:p>
      </cdr:txBody>
    </cdr:sp>
  </cdr:relSizeAnchor>
  <cdr:relSizeAnchor xmlns:cdr="http://schemas.openxmlformats.org/drawingml/2006/chartDrawing">
    <cdr:from>
      <cdr:x>0.01444</cdr:x>
      <cdr:y>0.0566</cdr:y>
    </cdr:from>
    <cdr:to>
      <cdr:x>0.09747</cdr:x>
      <cdr:y>0.14717</cdr:y>
    </cdr:to>
    <cdr:sp macro="" textlink="">
      <cdr:nvSpPr>
        <cdr:cNvPr id="8" name="TextBox 1"/>
        <cdr:cNvSpPr txBox="1"/>
      </cdr:nvSpPr>
      <cdr:spPr>
        <a:xfrm xmlns:a="http://schemas.openxmlformats.org/drawingml/2006/main">
          <a:off x="76200" y="142875"/>
          <a:ext cx="438137"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t>吨</a:t>
          </a:r>
        </a:p>
      </cdr:txBody>
    </cdr:sp>
  </cdr:relSizeAnchor>
  <cdr:relSizeAnchor xmlns:cdr="http://schemas.openxmlformats.org/drawingml/2006/chartDrawing">
    <cdr:from>
      <cdr:x>0</cdr:x>
      <cdr:y>0.90637</cdr:y>
    </cdr:from>
    <cdr:to>
      <cdr:x>0.62396</cdr:x>
      <cdr:y>1</cdr:y>
    </cdr:to>
    <cdr:sp macro="" textlink="">
      <cdr:nvSpPr>
        <cdr:cNvPr id="9" name="TextBox 1"/>
        <cdr:cNvSpPr txBox="1"/>
      </cdr:nvSpPr>
      <cdr:spPr>
        <a:xfrm xmlns:a="http://schemas.openxmlformats.org/drawingml/2006/main">
          <a:off x="0" y="2381250"/>
          <a:ext cx="2133616" cy="2363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zh-CN" altLang="en-US" sz="1000" b="0">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0.01807</cdr:x>
      <cdr:y>0.0355</cdr:y>
    </cdr:from>
    <cdr:to>
      <cdr:x>0.14167</cdr:x>
      <cdr:y>0.12153</cdr:y>
    </cdr:to>
    <cdr:sp macro="" textlink="">
      <cdr:nvSpPr>
        <cdr:cNvPr id="2" name="TextBox 1"/>
        <cdr:cNvSpPr txBox="1"/>
      </cdr:nvSpPr>
      <cdr:spPr>
        <a:xfrm xmlns:a="http://schemas.openxmlformats.org/drawingml/2006/main">
          <a:off x="65837" y="87783"/>
          <a:ext cx="450262" cy="2127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800"/>
            <a:t>万吨</a:t>
          </a:r>
        </a:p>
      </cdr:txBody>
    </cdr:sp>
  </cdr:relSizeAnchor>
  <cdr:relSizeAnchor xmlns:cdr="http://schemas.openxmlformats.org/drawingml/2006/chartDrawing">
    <cdr:from>
      <cdr:x>0.86875</cdr:x>
      <cdr:y>0.02431</cdr:y>
    </cdr:from>
    <cdr:to>
      <cdr:x>0.975</cdr:x>
      <cdr:y>0.12847</cdr:y>
    </cdr:to>
    <cdr:sp macro="" textlink="">
      <cdr:nvSpPr>
        <cdr:cNvPr id="3" name="TextBox 2"/>
        <cdr:cNvSpPr txBox="1"/>
      </cdr:nvSpPr>
      <cdr:spPr>
        <a:xfrm xmlns:a="http://schemas.openxmlformats.org/drawingml/2006/main">
          <a:off x="3971925" y="66676"/>
          <a:ext cx="485775"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0.89792</cdr:x>
      <cdr:y>0.04438</cdr:y>
    </cdr:from>
    <cdr:to>
      <cdr:x>0.97917</cdr:x>
      <cdr:y>0.13194</cdr:y>
    </cdr:to>
    <cdr:sp macro="" textlink="">
      <cdr:nvSpPr>
        <cdr:cNvPr id="4" name="TextBox 3"/>
        <cdr:cNvSpPr txBox="1"/>
      </cdr:nvSpPr>
      <cdr:spPr>
        <a:xfrm xmlns:a="http://schemas.openxmlformats.org/drawingml/2006/main">
          <a:off x="3271095" y="109727"/>
          <a:ext cx="295991" cy="2164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900"/>
            <a:t>%</a:t>
          </a:r>
          <a:endParaRPr lang="zh-CN" alt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0.00533</cdr:x>
      <cdr:y>0.00889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0.03194</cdr:x>
      <cdr:y>0.05556</cdr:y>
    </cdr:from>
    <cdr:to>
      <cdr:x>0.16168</cdr:x>
      <cdr:y>0.16319</cdr:y>
    </cdr:to>
    <cdr:sp macro="" textlink="">
      <cdr:nvSpPr>
        <cdr:cNvPr id="5" name="TextBox 4"/>
        <cdr:cNvSpPr txBox="1"/>
      </cdr:nvSpPr>
      <cdr:spPr>
        <a:xfrm xmlns:a="http://schemas.openxmlformats.org/drawingml/2006/main">
          <a:off x="117044" y="136561"/>
          <a:ext cx="475488" cy="2645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800"/>
            <a:t>万吨</a:t>
          </a:r>
        </a:p>
      </cdr:txBody>
    </cdr:sp>
  </cdr:relSizeAnchor>
  <cdr:relSizeAnchor xmlns:cdr="http://schemas.openxmlformats.org/drawingml/2006/chartDrawing">
    <cdr:from>
      <cdr:x>0.89375</cdr:x>
      <cdr:y>0.07292</cdr:y>
    </cdr:from>
    <cdr:to>
      <cdr:x>0.95833</cdr:x>
      <cdr:y>0.17361</cdr:y>
    </cdr:to>
    <cdr:sp macro="" textlink="">
      <cdr:nvSpPr>
        <cdr:cNvPr id="6" name="TextBox 5"/>
        <cdr:cNvSpPr txBox="1"/>
      </cdr:nvSpPr>
      <cdr:spPr>
        <a:xfrm xmlns:a="http://schemas.openxmlformats.org/drawingml/2006/main">
          <a:off x="4086224" y="200025"/>
          <a:ext cx="29527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900"/>
            <a:t>%</a:t>
          </a:r>
          <a:endParaRPr lang="zh-CN" altLang="en-US" sz="900"/>
        </a:p>
      </cdr:txBody>
    </cdr:sp>
  </cdr:relSizeAnchor>
</c:userShapes>
</file>

<file path=word/drawings/drawing5.xml><?xml version="1.0" encoding="utf-8"?>
<c:userShapes xmlns:c="http://schemas.openxmlformats.org/drawingml/2006/chart">
  <cdr:relSizeAnchor xmlns:cdr="http://schemas.openxmlformats.org/drawingml/2006/chartDrawing">
    <cdr:from>
      <cdr:x>0.04583</cdr:x>
      <cdr:y>0.04514</cdr:y>
    </cdr:from>
    <cdr:to>
      <cdr:x>0.14375</cdr:x>
      <cdr:y>0.13194</cdr:y>
    </cdr:to>
    <cdr:sp macro="" textlink="">
      <cdr:nvSpPr>
        <cdr:cNvPr id="2" name="TextBox 1"/>
        <cdr:cNvSpPr txBox="1"/>
      </cdr:nvSpPr>
      <cdr:spPr>
        <a:xfrm xmlns:a="http://schemas.openxmlformats.org/drawingml/2006/main">
          <a:off x="209550" y="123825"/>
          <a:ext cx="44767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800"/>
            <a:t>吨</a:t>
          </a:r>
        </a:p>
      </cdr:txBody>
    </cdr:sp>
  </cdr:relSizeAnchor>
</c:userShapes>
</file>

<file path=word/drawings/drawing6.xml><?xml version="1.0" encoding="utf-8"?>
<c:userShapes xmlns:c="http://schemas.openxmlformats.org/drawingml/2006/chart">
  <cdr:relSizeAnchor xmlns:cdr="http://schemas.openxmlformats.org/drawingml/2006/chartDrawing">
    <cdr:from>
      <cdr:x>0.06458</cdr:x>
      <cdr:y>0.03472</cdr:y>
    </cdr:from>
    <cdr:to>
      <cdr:x>0.16042</cdr:x>
      <cdr:y>0.12847</cdr:y>
    </cdr:to>
    <cdr:sp macro="" textlink="">
      <cdr:nvSpPr>
        <cdr:cNvPr id="2" name="TextBox 1"/>
        <cdr:cNvSpPr txBox="1"/>
      </cdr:nvSpPr>
      <cdr:spPr>
        <a:xfrm xmlns:a="http://schemas.openxmlformats.org/drawingml/2006/main">
          <a:off x="295275" y="95249"/>
          <a:ext cx="438150" cy="2571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900"/>
            <a:t>吨</a:t>
          </a:r>
        </a:p>
      </cdr:txBody>
    </cdr:sp>
  </cdr:relSizeAnchor>
</c:userShapes>
</file>

<file path=word/drawings/drawing7.xml><?xml version="1.0" encoding="utf-8"?>
<c:userShapes xmlns:c="http://schemas.openxmlformats.org/drawingml/2006/chart">
  <cdr:relSizeAnchor xmlns:cdr="http://schemas.openxmlformats.org/drawingml/2006/chartDrawing">
    <cdr:from>
      <cdr:x>0.02917</cdr:x>
      <cdr:y>0.03472</cdr:y>
    </cdr:from>
    <cdr:to>
      <cdr:x>0.15417</cdr:x>
      <cdr:y>0.12153</cdr:y>
    </cdr:to>
    <cdr:sp macro="" textlink="">
      <cdr:nvSpPr>
        <cdr:cNvPr id="2" name="TextBox 1"/>
        <cdr:cNvSpPr txBox="1"/>
      </cdr:nvSpPr>
      <cdr:spPr>
        <a:xfrm xmlns:a="http://schemas.openxmlformats.org/drawingml/2006/main">
          <a:off x="133350" y="95249"/>
          <a:ext cx="57150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900"/>
            <a:t>万吨</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0.91525</cdr:y>
    </cdr:from>
    <cdr:to>
      <cdr:x>0</cdr:x>
      <cdr:y>0.92029</cdr:y>
    </cdr:to>
    <cdr:sp macro="" textlink="">
      <cdr:nvSpPr>
        <cdr:cNvPr id="3" name="TextBox 1"/>
        <cdr:cNvSpPr txBox="1"/>
      </cdr:nvSpPr>
      <cdr:spPr>
        <a:xfrm xmlns:a="http://schemas.openxmlformats.org/drawingml/2006/main">
          <a:off x="0" y="2295525"/>
          <a:ext cx="1828800" cy="19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1000" b="1"/>
            <a:t>资料来源：路透，金源期货</a:t>
          </a:r>
        </a:p>
      </cdr:txBody>
    </cdr:sp>
  </cdr:relSizeAnchor>
  <cdr:relSizeAnchor xmlns:cdr="http://schemas.openxmlformats.org/drawingml/2006/chartDrawing">
    <cdr:from>
      <cdr:x>0.27712</cdr:x>
      <cdr:y>0</cdr:y>
    </cdr:from>
    <cdr:to>
      <cdr:x>0.7941</cdr:x>
      <cdr:y>0.10274</cdr:y>
    </cdr:to>
    <cdr:sp macro="" textlink="">
      <cdr:nvSpPr>
        <cdr:cNvPr id="28674" name="TextBox 1"/>
        <cdr:cNvSpPr txBox="1">
          <a:spLocks xmlns:a="http://schemas.openxmlformats.org/drawingml/2006/main" noChangeArrowheads="1"/>
        </cdr:cNvSpPr>
      </cdr:nvSpPr>
      <cdr:spPr bwMode="auto">
        <a:xfrm xmlns:a="http://schemas.openxmlformats.org/drawingml/2006/main">
          <a:off x="953413" y="1422"/>
          <a:ext cx="1772721" cy="2603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endParaRPr lang="zh-CN" altLang="en-US" sz="1050" b="1" i="0" u="none" strike="noStrike" baseline="0">
            <a:solidFill>
              <a:srgbClr val="000000"/>
            </a:solidFill>
            <a:latin typeface="宋体"/>
            <a:ea typeface="宋体"/>
          </a:endParaRPr>
        </a:p>
      </cdr:txBody>
    </cdr:sp>
  </cdr:relSizeAnchor>
  <cdr:relSizeAnchor xmlns:cdr="http://schemas.openxmlformats.org/drawingml/2006/chartDrawing">
    <cdr:from>
      <cdr:x>0.87173</cdr:x>
      <cdr:y>0.04151</cdr:y>
    </cdr:from>
    <cdr:to>
      <cdr:x>0.99278</cdr:x>
      <cdr:y>0.13585</cdr:y>
    </cdr:to>
    <cdr:sp macro="" textlink="">
      <cdr:nvSpPr>
        <cdr:cNvPr id="7" name="TextBox 8"/>
        <cdr:cNvSpPr txBox="1"/>
      </cdr:nvSpPr>
      <cdr:spPr>
        <a:xfrm xmlns:a="http://schemas.openxmlformats.org/drawingml/2006/main">
          <a:off x="2981325" y="104775"/>
          <a:ext cx="413972" cy="2381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800"/>
            <a:t>美元</a:t>
          </a:r>
        </a:p>
      </cdr:txBody>
    </cdr:sp>
  </cdr:relSizeAnchor>
  <cdr:relSizeAnchor xmlns:cdr="http://schemas.openxmlformats.org/drawingml/2006/chartDrawing">
    <cdr:from>
      <cdr:x>0.01444</cdr:x>
      <cdr:y>0.0566</cdr:y>
    </cdr:from>
    <cdr:to>
      <cdr:x>0.09747</cdr:x>
      <cdr:y>0.14717</cdr:y>
    </cdr:to>
    <cdr:sp macro="" textlink="">
      <cdr:nvSpPr>
        <cdr:cNvPr id="8" name="TextBox 1"/>
        <cdr:cNvSpPr txBox="1"/>
      </cdr:nvSpPr>
      <cdr:spPr>
        <a:xfrm xmlns:a="http://schemas.openxmlformats.org/drawingml/2006/main">
          <a:off x="76200" y="142875"/>
          <a:ext cx="438137"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t>吨</a:t>
          </a:r>
        </a:p>
      </cdr:txBody>
    </cdr:sp>
  </cdr:relSizeAnchor>
  <cdr:relSizeAnchor xmlns:cdr="http://schemas.openxmlformats.org/drawingml/2006/chartDrawing">
    <cdr:from>
      <cdr:x>0</cdr:x>
      <cdr:y>0.90637</cdr:y>
    </cdr:from>
    <cdr:to>
      <cdr:x>0.62396</cdr:x>
      <cdr:y>1</cdr:y>
    </cdr:to>
    <cdr:sp macro="" textlink="">
      <cdr:nvSpPr>
        <cdr:cNvPr id="9" name="TextBox 1"/>
        <cdr:cNvSpPr txBox="1"/>
      </cdr:nvSpPr>
      <cdr:spPr>
        <a:xfrm xmlns:a="http://schemas.openxmlformats.org/drawingml/2006/main">
          <a:off x="0" y="2886075"/>
          <a:ext cx="2133616" cy="2363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zh-CN" altLang="en-US" sz="1000" b="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0.91525</cdr:y>
    </cdr:from>
    <cdr:to>
      <cdr:x>0</cdr:x>
      <cdr:y>0.92029</cdr:y>
    </cdr:to>
    <cdr:sp macro="" textlink="">
      <cdr:nvSpPr>
        <cdr:cNvPr id="3" name="TextBox 1"/>
        <cdr:cNvSpPr txBox="1"/>
      </cdr:nvSpPr>
      <cdr:spPr>
        <a:xfrm xmlns:a="http://schemas.openxmlformats.org/drawingml/2006/main">
          <a:off x="0" y="2295525"/>
          <a:ext cx="1828800" cy="19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1000" b="1"/>
            <a:t>资料来源：路透，金源期货</a:t>
          </a:r>
        </a:p>
      </cdr:txBody>
    </cdr:sp>
  </cdr:relSizeAnchor>
  <cdr:relSizeAnchor xmlns:cdr="http://schemas.openxmlformats.org/drawingml/2006/chartDrawing">
    <cdr:from>
      <cdr:x>0.27798</cdr:x>
      <cdr:y>0</cdr:y>
    </cdr:from>
    <cdr:to>
      <cdr:x>0.80768</cdr:x>
      <cdr:y>0.10566</cdr:y>
    </cdr:to>
    <cdr:sp macro="" textlink="">
      <cdr:nvSpPr>
        <cdr:cNvPr id="4" name="TextBox 1"/>
        <cdr:cNvSpPr txBox="1"/>
      </cdr:nvSpPr>
      <cdr:spPr>
        <a:xfrm xmlns:a="http://schemas.openxmlformats.org/drawingml/2006/main">
          <a:off x="950692" y="0"/>
          <a:ext cx="1811558" cy="26669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zh-CN" altLang="en-US" sz="1050" b="1"/>
        </a:p>
      </cdr:txBody>
    </cdr:sp>
  </cdr:relSizeAnchor>
  <cdr:relSizeAnchor xmlns:cdr="http://schemas.openxmlformats.org/drawingml/2006/chartDrawing">
    <cdr:from>
      <cdr:x>0.90584</cdr:x>
      <cdr:y>0.01159</cdr:y>
    </cdr:from>
    <cdr:to>
      <cdr:x>0.99904</cdr:x>
      <cdr:y>0.15324</cdr:y>
    </cdr:to>
    <cdr:sp macro="" textlink="">
      <cdr:nvSpPr>
        <cdr:cNvPr id="7" name="TextBox 8"/>
        <cdr:cNvSpPr txBox="1"/>
      </cdr:nvSpPr>
      <cdr:spPr>
        <a:xfrm xmlns:a="http://schemas.openxmlformats.org/drawingml/2006/main">
          <a:off x="3097497" y="29261"/>
          <a:ext cx="318695" cy="3575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900"/>
            <a:t>%</a:t>
          </a:r>
          <a:endParaRPr lang="zh-CN" altLang="en-US" sz="900"/>
        </a:p>
      </cdr:txBody>
    </cdr:sp>
  </cdr:relSizeAnchor>
  <cdr:relSizeAnchor xmlns:cdr="http://schemas.openxmlformats.org/drawingml/2006/chartDrawing">
    <cdr:from>
      <cdr:x>0.04011</cdr:x>
      <cdr:y>0.01159</cdr:y>
    </cdr:from>
    <cdr:to>
      <cdr:x>0.12314</cdr:x>
      <cdr:y>0.09564</cdr:y>
    </cdr:to>
    <cdr:sp macro="" textlink="">
      <cdr:nvSpPr>
        <cdr:cNvPr id="8" name="TextBox 1"/>
        <cdr:cNvSpPr txBox="1"/>
      </cdr:nvSpPr>
      <cdr:spPr>
        <a:xfrm xmlns:a="http://schemas.openxmlformats.org/drawingml/2006/main">
          <a:off x="137155" y="29261"/>
          <a:ext cx="283919" cy="2121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800"/>
            <a:t>吨</a:t>
          </a:r>
        </a:p>
      </cdr:txBody>
    </cdr:sp>
  </cdr:relSizeAnchor>
  <cdr:relSizeAnchor xmlns:cdr="http://schemas.openxmlformats.org/drawingml/2006/chartDrawing">
    <cdr:from>
      <cdr:x>0</cdr:x>
      <cdr:y>0.90637</cdr:y>
    </cdr:from>
    <cdr:to>
      <cdr:x>0.62396</cdr:x>
      <cdr:y>1</cdr:y>
    </cdr:to>
    <cdr:sp macro="" textlink="">
      <cdr:nvSpPr>
        <cdr:cNvPr id="9" name="TextBox 1"/>
        <cdr:cNvSpPr txBox="1"/>
      </cdr:nvSpPr>
      <cdr:spPr>
        <a:xfrm xmlns:a="http://schemas.openxmlformats.org/drawingml/2006/main">
          <a:off x="0" y="2381250"/>
          <a:ext cx="2133616" cy="2363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zh-CN" altLang="en-US" sz="1000" b="0">
            <a:latin typeface="Arial" pitchFamily="34" charset="0"/>
            <a:cs typeface="Arial" pitchFamily="34"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B42EE36-AB80-4B3A-A2C4-C5E650D38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6583</TotalTime>
  <Pages>18</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11714</CharactersWithSpaces>
  <SharedDoc>false</SharedDoc>
  <HLinks>
    <vt:vector size="78" baseType="variant">
      <vt:variant>
        <vt:i4>1245242</vt:i4>
      </vt:variant>
      <vt:variant>
        <vt:i4>68</vt:i4>
      </vt:variant>
      <vt:variant>
        <vt:i4>0</vt:i4>
      </vt:variant>
      <vt:variant>
        <vt:i4>5</vt:i4>
      </vt:variant>
      <vt:variant>
        <vt:lpwstr/>
      </vt:variant>
      <vt:variant>
        <vt:lpwstr>_Toc329556552</vt:lpwstr>
      </vt:variant>
      <vt:variant>
        <vt:i4>1245242</vt:i4>
      </vt:variant>
      <vt:variant>
        <vt:i4>62</vt:i4>
      </vt:variant>
      <vt:variant>
        <vt:i4>0</vt:i4>
      </vt:variant>
      <vt:variant>
        <vt:i4>5</vt:i4>
      </vt:variant>
      <vt:variant>
        <vt:lpwstr/>
      </vt:variant>
      <vt:variant>
        <vt:lpwstr>_Toc329556551</vt:lpwstr>
      </vt:variant>
      <vt:variant>
        <vt:i4>1245242</vt:i4>
      </vt:variant>
      <vt:variant>
        <vt:i4>56</vt:i4>
      </vt:variant>
      <vt:variant>
        <vt:i4>0</vt:i4>
      </vt:variant>
      <vt:variant>
        <vt:i4>5</vt:i4>
      </vt:variant>
      <vt:variant>
        <vt:lpwstr/>
      </vt:variant>
      <vt:variant>
        <vt:lpwstr>_Toc329556550</vt:lpwstr>
      </vt:variant>
      <vt:variant>
        <vt:i4>1179706</vt:i4>
      </vt:variant>
      <vt:variant>
        <vt:i4>50</vt:i4>
      </vt:variant>
      <vt:variant>
        <vt:i4>0</vt:i4>
      </vt:variant>
      <vt:variant>
        <vt:i4>5</vt:i4>
      </vt:variant>
      <vt:variant>
        <vt:lpwstr/>
      </vt:variant>
      <vt:variant>
        <vt:lpwstr>_Toc329556549</vt:lpwstr>
      </vt:variant>
      <vt:variant>
        <vt:i4>1179706</vt:i4>
      </vt:variant>
      <vt:variant>
        <vt:i4>44</vt:i4>
      </vt:variant>
      <vt:variant>
        <vt:i4>0</vt:i4>
      </vt:variant>
      <vt:variant>
        <vt:i4>5</vt:i4>
      </vt:variant>
      <vt:variant>
        <vt:lpwstr/>
      </vt:variant>
      <vt:variant>
        <vt:lpwstr>_Toc329556548</vt:lpwstr>
      </vt:variant>
      <vt:variant>
        <vt:i4>1179706</vt:i4>
      </vt:variant>
      <vt:variant>
        <vt:i4>38</vt:i4>
      </vt:variant>
      <vt:variant>
        <vt:i4>0</vt:i4>
      </vt:variant>
      <vt:variant>
        <vt:i4>5</vt:i4>
      </vt:variant>
      <vt:variant>
        <vt:lpwstr/>
      </vt:variant>
      <vt:variant>
        <vt:lpwstr>_Toc329556547</vt:lpwstr>
      </vt:variant>
      <vt:variant>
        <vt:i4>1179706</vt:i4>
      </vt:variant>
      <vt:variant>
        <vt:i4>32</vt:i4>
      </vt:variant>
      <vt:variant>
        <vt:i4>0</vt:i4>
      </vt:variant>
      <vt:variant>
        <vt:i4>5</vt:i4>
      </vt:variant>
      <vt:variant>
        <vt:lpwstr/>
      </vt:variant>
      <vt:variant>
        <vt:lpwstr>_Toc329556546</vt:lpwstr>
      </vt:variant>
      <vt:variant>
        <vt:i4>1179706</vt:i4>
      </vt:variant>
      <vt:variant>
        <vt:i4>26</vt:i4>
      </vt:variant>
      <vt:variant>
        <vt:i4>0</vt:i4>
      </vt:variant>
      <vt:variant>
        <vt:i4>5</vt:i4>
      </vt:variant>
      <vt:variant>
        <vt:lpwstr/>
      </vt:variant>
      <vt:variant>
        <vt:lpwstr>_Toc329556545</vt:lpwstr>
      </vt:variant>
      <vt:variant>
        <vt:i4>1179706</vt:i4>
      </vt:variant>
      <vt:variant>
        <vt:i4>20</vt:i4>
      </vt:variant>
      <vt:variant>
        <vt:i4>0</vt:i4>
      </vt:variant>
      <vt:variant>
        <vt:i4>5</vt:i4>
      </vt:variant>
      <vt:variant>
        <vt:lpwstr/>
      </vt:variant>
      <vt:variant>
        <vt:lpwstr>_Toc329556544</vt:lpwstr>
      </vt:variant>
      <vt:variant>
        <vt:i4>1179706</vt:i4>
      </vt:variant>
      <vt:variant>
        <vt:i4>14</vt:i4>
      </vt:variant>
      <vt:variant>
        <vt:i4>0</vt:i4>
      </vt:variant>
      <vt:variant>
        <vt:i4>5</vt:i4>
      </vt:variant>
      <vt:variant>
        <vt:lpwstr/>
      </vt:variant>
      <vt:variant>
        <vt:lpwstr>_Toc329556543</vt:lpwstr>
      </vt:variant>
      <vt:variant>
        <vt:i4>1179706</vt:i4>
      </vt:variant>
      <vt:variant>
        <vt:i4>8</vt:i4>
      </vt:variant>
      <vt:variant>
        <vt:i4>0</vt:i4>
      </vt:variant>
      <vt:variant>
        <vt:i4>5</vt:i4>
      </vt:variant>
      <vt:variant>
        <vt:lpwstr/>
      </vt:variant>
      <vt:variant>
        <vt:lpwstr>_Toc329556542</vt:lpwstr>
      </vt:variant>
      <vt:variant>
        <vt:i4>1179706</vt:i4>
      </vt:variant>
      <vt:variant>
        <vt:i4>2</vt:i4>
      </vt:variant>
      <vt:variant>
        <vt:i4>0</vt:i4>
      </vt:variant>
      <vt:variant>
        <vt:i4>5</vt:i4>
      </vt:variant>
      <vt:variant>
        <vt:lpwstr/>
      </vt:variant>
      <vt:variant>
        <vt:lpwstr>_Toc329556541</vt:lpwstr>
      </vt:variant>
      <vt:variant>
        <vt:i4>-1869907015</vt:i4>
      </vt:variant>
      <vt:variant>
        <vt:i4>0</vt:i4>
      </vt:variant>
      <vt:variant>
        <vt:i4>0</vt:i4>
      </vt:variant>
      <vt:variant>
        <vt:i4>5</vt:i4>
      </vt:variant>
      <vt:variant>
        <vt:lpwstr>mailto:邮箱%20%20%20%20wang.xj@jyqh.com.cn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MC SYSTEM</cp:lastModifiedBy>
  <cp:revision>1282</cp:revision>
  <cp:lastPrinted>2014-02-12T03:02:00Z</cp:lastPrinted>
  <dcterms:created xsi:type="dcterms:W3CDTF">2013-01-08T16:30:00Z</dcterms:created>
  <dcterms:modified xsi:type="dcterms:W3CDTF">2014-06-09T03:04:00Z</dcterms:modified>
</cp:coreProperties>
</file>