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jc w:val="center"/>
      </w:pPr>
      <w:r>
        <w:t>关于</w:t>
      </w:r>
      <w:r>
        <w:rPr>
          <w:rFonts w:hint="eastAsia"/>
          <w:lang w:eastAsia="zh-CN"/>
        </w:rPr>
        <w:t>“</w:t>
      </w:r>
      <w:r>
        <w:t>长期稳定盈利奖</w:t>
      </w:r>
      <w:r>
        <w:rPr>
          <w:rFonts w:hint="eastAsia"/>
          <w:lang w:eastAsia="zh-CN"/>
        </w:rPr>
        <w:t>”</w:t>
      </w:r>
      <w:r>
        <w:t>账户合并、成绩汇总的通知 </w:t>
      </w:r>
    </w:p>
    <w:p>
      <w:pPr>
        <w:pStyle w:val="4"/>
        <w:widowControl/>
      </w:pPr>
      <w:r>
        <w:rPr>
          <w:rStyle w:val="7"/>
        </w:rPr>
        <w:t>各指定交易商、参赛者：</w:t>
      </w:r>
    </w:p>
    <w:p>
      <w:pPr>
        <w:pStyle w:val="4"/>
        <w:widowControl/>
      </w:pPr>
      <w:r>
        <w:t>　</w:t>
      </w:r>
      <w:r>
        <w:rPr>
          <w:rFonts w:hint="eastAsia"/>
        </w:rPr>
        <w:t xml:space="preserve"> </w:t>
      </w:r>
      <w:r>
        <w:t> 第十</w:t>
      </w:r>
      <w:r>
        <w:rPr>
          <w:rFonts w:hint="eastAsia"/>
        </w:rPr>
        <w:t>三</w:t>
      </w:r>
      <w:r>
        <w:t>届全国</w:t>
      </w:r>
      <w:r>
        <w:fldChar w:fldCharType="begin"/>
      </w:r>
      <w:r>
        <w:instrText xml:space="preserve"> HYPERLINK "http://www.qhrb.com.cn/" \t "http://www.qhrb.com.cn/2016/0429/_blank" </w:instrText>
      </w:r>
      <w:r>
        <w:fldChar w:fldCharType="separate"/>
      </w:r>
      <w:r>
        <w:t>期货</w:t>
      </w:r>
      <w:r>
        <w:fldChar w:fldCharType="end"/>
      </w:r>
      <w:r>
        <w:t>实盘交易大赛</w:t>
      </w:r>
      <w:r>
        <w:rPr>
          <w:rFonts w:hint="eastAsia"/>
        </w:rPr>
        <w:t>已进入尾声，</w:t>
      </w:r>
      <w:r>
        <w:rPr>
          <w:rFonts w:hint="eastAsia"/>
          <w:lang w:eastAsia="zh-CN"/>
        </w:rPr>
        <w:t>“</w:t>
      </w:r>
      <w:r>
        <w:t>长期稳定盈利奖</w:t>
      </w:r>
      <w:r>
        <w:rPr>
          <w:rFonts w:hint="eastAsia"/>
          <w:lang w:eastAsia="zh-CN"/>
        </w:rPr>
        <w:t>”</w:t>
      </w:r>
      <w:r>
        <w:rPr>
          <w:rFonts w:hint="eastAsia"/>
        </w:rPr>
        <w:t>的</w:t>
      </w:r>
      <w:r>
        <w:t>账户汇总工作已经开始。参赛者</w:t>
      </w:r>
      <w:r>
        <w:rPr>
          <w:rFonts w:hint="eastAsia"/>
        </w:rPr>
        <w:t>可</w:t>
      </w:r>
      <w:r>
        <w:t>在大赛</w:t>
      </w:r>
      <w:r>
        <w:rPr>
          <w:rFonts w:hint="eastAsia"/>
        </w:rPr>
        <w:t>官</w:t>
      </w:r>
      <w:r>
        <w:t>网的</w:t>
      </w:r>
      <w:r>
        <w:rPr>
          <w:rFonts w:hint="eastAsia"/>
        </w:rPr>
        <w:t>该奖项</w:t>
      </w:r>
      <w:r>
        <w:t>排名查询页面：http://spds.qhrb.com.cn/SP13/SPOverSee1.aspx</w:t>
      </w:r>
      <w:r>
        <w:rPr>
          <w:rFonts w:hint="eastAsia"/>
        </w:rPr>
        <w:t>，查询各自账户的总得分以及历届成绩、历届账户评估情况以及合并账户。特别提醒，合并成绩截止日期到2019.9.27日当天，此后合并的不纳入排名。</w:t>
      </w:r>
    </w:p>
    <w:p>
      <w:pPr>
        <w:pStyle w:val="4"/>
        <w:widowControl/>
      </w:pPr>
      <w:r>
        <w:t> 目前</w:t>
      </w:r>
      <w:r>
        <w:rPr>
          <w:rFonts w:hint="eastAsia"/>
          <w:lang w:eastAsia="zh-CN"/>
        </w:rPr>
        <w:t>“</w:t>
      </w:r>
      <w:r>
        <w:t>长期稳定盈利奖</w:t>
      </w:r>
      <w:r>
        <w:rPr>
          <w:rFonts w:hint="eastAsia"/>
          <w:lang w:eastAsia="zh-CN"/>
        </w:rPr>
        <w:t>”</w:t>
      </w:r>
      <w:r>
        <w:t>的排名以及得分，是系统自动按照历届参赛账户中同一指定交易商、同一参赛账号</w:t>
      </w:r>
      <w:r>
        <w:rPr>
          <w:rFonts w:hint="eastAsia"/>
        </w:rPr>
        <w:t>自动</w:t>
      </w:r>
      <w:r>
        <w:t>合并汇总</w:t>
      </w:r>
      <w:r>
        <w:rPr>
          <w:rFonts w:hint="eastAsia"/>
        </w:rPr>
        <w:t>的</w:t>
      </w:r>
      <w:r>
        <w:t>，凡是历届参赛账户不属于同一指定交易商、同一参赛账户，</w:t>
      </w:r>
      <w:r>
        <w:rPr>
          <w:rFonts w:hint="eastAsia"/>
        </w:rPr>
        <w:t>均需要手工合并，往届</w:t>
      </w:r>
      <w:r>
        <w:t>合并过的账户本届只需合并上一届的账户即可。如需合并成绩，则需要</w:t>
      </w:r>
      <w:r>
        <w:rPr>
          <w:rFonts w:hint="eastAsia"/>
        </w:rPr>
        <w:t>参赛者</w:t>
      </w:r>
      <w:r>
        <w:t>在该排名网站</w:t>
      </w:r>
      <w:r>
        <w:rPr>
          <w:rFonts w:hint="eastAsia"/>
        </w:rPr>
        <w:t>，在查询框内输入本届参赛账户或者昵称，先找到自己的账户，然后点击最后一列的</w:t>
      </w:r>
      <w:r>
        <w:t>“合并账号”进行合并，或者</w:t>
      </w:r>
      <w:r>
        <w:rPr>
          <w:rFonts w:hint="eastAsia"/>
        </w:rPr>
        <w:t>致电客服电话</w:t>
      </w:r>
      <w:r>
        <w:t>：0371-65613869</w:t>
      </w:r>
      <w:r>
        <w:rPr>
          <w:rFonts w:hint="eastAsia"/>
        </w:rPr>
        <w:t>，</w:t>
      </w:r>
      <w:r>
        <w:t>由大赛</w:t>
      </w:r>
      <w:bookmarkStart w:id="0" w:name="_GoBack"/>
      <w:bookmarkEnd w:id="0"/>
      <w:r>
        <w:t>组委会代为合并。</w:t>
      </w:r>
    </w:p>
    <w:p>
      <w:pPr>
        <w:pStyle w:val="4"/>
        <w:widowControl/>
      </w:pPr>
      <w:r>
        <w:rPr>
          <w:rStyle w:val="7"/>
        </w:rPr>
        <w:t> </w:t>
      </w:r>
      <w:r>
        <w:t>合并账户请点击排名中最后一项：“合并账户”，分别按照参赛届数，选择指定商、输入该届参赛账号，输完之后点击：“开始合并”即可。</w:t>
      </w:r>
    </w:p>
    <w:p>
      <w:pPr>
        <w:pStyle w:val="4"/>
        <w:widowControl/>
        <w:rPr>
          <w:rStyle w:val="7"/>
        </w:rPr>
      </w:pPr>
      <w:r>
        <w:rPr>
          <w:rStyle w:val="7"/>
          <w:rFonts w:hint="eastAsia"/>
        </w:rPr>
        <w:t>每届比赛只能合并一个账户</w:t>
      </w:r>
      <w:r>
        <w:rPr>
          <w:rStyle w:val="7"/>
        </w:rPr>
        <w:t>。 该奖项排名的</w:t>
      </w:r>
      <w:r>
        <w:rPr>
          <w:rStyle w:val="7"/>
          <w:rFonts w:hint="eastAsia"/>
          <w:lang w:eastAsia="zh-CN"/>
        </w:rPr>
        <w:t>“</w:t>
      </w:r>
      <w:r>
        <w:rPr>
          <w:rStyle w:val="7"/>
        </w:rPr>
        <w:t>账户昵称</w:t>
      </w:r>
      <w:r>
        <w:rPr>
          <w:rStyle w:val="7"/>
          <w:rFonts w:hint="eastAsia"/>
          <w:lang w:eastAsia="zh-CN"/>
        </w:rPr>
        <w:t>”</w:t>
      </w:r>
      <w:r>
        <w:rPr>
          <w:rStyle w:val="7"/>
        </w:rPr>
        <w:t>，是按照第十</w:t>
      </w:r>
      <w:r>
        <w:rPr>
          <w:rStyle w:val="7"/>
          <w:rFonts w:hint="eastAsia"/>
        </w:rPr>
        <w:t>三</w:t>
      </w:r>
      <w:r>
        <w:rPr>
          <w:rStyle w:val="7"/>
        </w:rPr>
        <w:t>届大赛的</w:t>
      </w:r>
      <w:r>
        <w:rPr>
          <w:rStyle w:val="7"/>
          <w:rFonts w:hint="eastAsia"/>
          <w:lang w:eastAsia="zh-CN"/>
        </w:rPr>
        <w:t>“</w:t>
      </w:r>
      <w:r>
        <w:rPr>
          <w:rStyle w:val="7"/>
        </w:rPr>
        <w:t>参赛昵称</w:t>
      </w:r>
      <w:r>
        <w:rPr>
          <w:rStyle w:val="7"/>
          <w:rFonts w:hint="eastAsia"/>
          <w:lang w:eastAsia="zh-CN"/>
        </w:rPr>
        <w:t>”</w:t>
      </w:r>
      <w:r>
        <w:rPr>
          <w:rStyle w:val="7"/>
        </w:rPr>
        <w:t>提取的，即必须参加第十</w:t>
      </w:r>
      <w:r>
        <w:rPr>
          <w:rStyle w:val="7"/>
          <w:rFonts w:hint="eastAsia"/>
        </w:rPr>
        <w:t>三</w:t>
      </w:r>
      <w:r>
        <w:rPr>
          <w:rStyle w:val="7"/>
        </w:rPr>
        <w:t>届大赛才有资格参与该奖项的评比</w:t>
      </w:r>
      <w:r>
        <w:rPr>
          <w:rStyle w:val="7"/>
          <w:rFonts w:hint="eastAsia"/>
        </w:rPr>
        <w:t>，并且本届大赛的</w:t>
      </w:r>
      <w:r>
        <w:rPr>
          <w:rStyle w:val="7"/>
        </w:rPr>
        <w:t>单位累计净值</w:t>
      </w:r>
      <w:r>
        <w:rPr>
          <w:rStyle w:val="7"/>
          <w:rFonts w:hint="eastAsia"/>
        </w:rPr>
        <w:t>必须大于或等于</w:t>
      </w:r>
      <w:r>
        <w:rPr>
          <w:rStyle w:val="7"/>
        </w:rPr>
        <w:t>1.0</w:t>
      </w:r>
      <w:r>
        <w:rPr>
          <w:rStyle w:val="7"/>
          <w:rFonts w:hint="eastAsia"/>
        </w:rPr>
        <w:t>才有资格参加评奖</w:t>
      </w:r>
      <w:r>
        <w:rPr>
          <w:rStyle w:val="7"/>
        </w:rPr>
        <w:t>。</w:t>
      </w:r>
    </w:p>
    <w:p>
      <w:pPr>
        <w:pStyle w:val="4"/>
        <w:widowControl/>
      </w:pPr>
      <w:r>
        <w:t> 该奖项以后每年都会进行排名，该排名系统将会逐步搭建成一个基于实盘赛历届成绩的长期业绩鉴证平台。凡是坚持每年都参赛的参赛者都会在该平台查询自己的往届成绩以及账户评估情况。该奖项的评奖细则也会逐步细化以及完善。</w:t>
      </w:r>
    </w:p>
    <w:p>
      <w:pPr>
        <w:pStyle w:val="4"/>
        <w:widowControl/>
      </w:pPr>
      <w:r>
        <w:t> 本届大赛“长期稳定盈利奖”的评奖规则以及得分换算如下：</w:t>
      </w:r>
    </w:p>
    <w:tbl>
      <w:tblPr>
        <w:tblStyle w:val="5"/>
        <w:tblW w:w="8394"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993"/>
        <w:gridCol w:w="1379"/>
        <w:gridCol w:w="50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948" w:type="dxa"/>
            <w:shd w:val="clear" w:color="auto" w:fill="auto"/>
            <w:vAlign w:val="bottom"/>
          </w:tcPr>
          <w:p>
            <w:pPr>
              <w:pStyle w:val="4"/>
              <w:widowControl/>
              <w:jc w:val="center"/>
            </w:pPr>
            <w:r>
              <w:rPr>
                <w:rStyle w:val="7"/>
              </w:rPr>
              <w:t>奖项</w:t>
            </w:r>
          </w:p>
        </w:tc>
        <w:tc>
          <w:tcPr>
            <w:tcW w:w="1349" w:type="dxa"/>
            <w:shd w:val="clear" w:color="auto" w:fill="auto"/>
            <w:vAlign w:val="bottom"/>
          </w:tcPr>
          <w:p>
            <w:pPr>
              <w:pStyle w:val="4"/>
              <w:widowControl/>
              <w:jc w:val="center"/>
            </w:pPr>
            <w:r>
              <w:rPr>
                <w:rStyle w:val="7"/>
              </w:rPr>
              <w:t>10名</w:t>
            </w:r>
          </w:p>
        </w:tc>
        <w:tc>
          <w:tcPr>
            <w:tcW w:w="4977" w:type="dxa"/>
            <w:shd w:val="clear" w:color="auto" w:fill="auto"/>
            <w:vAlign w:val="bottom"/>
          </w:tcPr>
          <w:p>
            <w:pPr>
              <w:pStyle w:val="4"/>
              <w:widowControl/>
              <w:jc w:val="center"/>
            </w:pPr>
            <w:r>
              <w:rPr>
                <w:rStyle w:val="7"/>
              </w:rPr>
              <w:t>排名方式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2" w:hRule="atLeast"/>
          <w:tblCellSpacing w:w="15" w:type="dxa"/>
        </w:trPr>
        <w:tc>
          <w:tcPr>
            <w:tcW w:w="1948" w:type="dxa"/>
            <w:vMerge w:val="restart"/>
            <w:shd w:val="clear" w:color="auto" w:fill="auto"/>
            <w:vAlign w:val="center"/>
          </w:tcPr>
          <w:p>
            <w:pPr>
              <w:pStyle w:val="4"/>
              <w:widowControl/>
            </w:pPr>
            <w:r>
              <w:t>长期稳定盈利奖</w:t>
            </w:r>
          </w:p>
        </w:tc>
        <w:tc>
          <w:tcPr>
            <w:tcW w:w="1349" w:type="dxa"/>
            <w:vMerge w:val="restart"/>
            <w:shd w:val="clear" w:color="auto" w:fill="auto"/>
            <w:vAlign w:val="center"/>
          </w:tcPr>
          <w:p>
            <w:pPr>
              <w:pStyle w:val="4"/>
              <w:widowControl/>
            </w:pPr>
            <w:r>
              <w:t>奖杯、证书</w:t>
            </w:r>
          </w:p>
          <w:p>
            <w:pPr>
              <w:pStyle w:val="4"/>
              <w:widowControl/>
            </w:pPr>
            <w:r>
              <w:t> </w:t>
            </w:r>
          </w:p>
        </w:tc>
        <w:tc>
          <w:tcPr>
            <w:tcW w:w="4977" w:type="dxa"/>
            <w:vMerge w:val="restart"/>
            <w:shd w:val="clear" w:color="auto" w:fill="auto"/>
            <w:vAlign w:val="center"/>
          </w:tcPr>
          <w:p>
            <w:pPr>
              <w:pStyle w:val="4"/>
              <w:widowControl/>
            </w:pPr>
            <w:r>
              <w:t>　　必须参加第十</w:t>
            </w:r>
            <w:r>
              <w:rPr>
                <w:rFonts w:hint="eastAsia"/>
              </w:rPr>
              <w:t>三</w:t>
            </w:r>
            <w:r>
              <w:t>届比赛才有资格进行该奖项评定。</w:t>
            </w:r>
          </w:p>
          <w:p>
            <w:pPr>
              <w:pStyle w:val="4"/>
              <w:widowControl/>
            </w:pPr>
            <w:r>
              <w:t>　　根据第三届大赛以来的历届参赛成绩换算综合得分累计进行排名。同一届比赛获多个奖项，成绩不累计，可取最好成绩。</w:t>
            </w:r>
          </w:p>
          <w:p>
            <w:pPr>
              <w:pStyle w:val="4"/>
              <w:widowControl/>
            </w:pPr>
            <w:r>
              <w:t>　　同一参赛者的同一参赛账号的多届参赛成绩，系统自动统计后累计，同一参赛者的不同参赛账号的多届成绩，须参赛者自行向指定交易商或者组委会申报账户合并，经审核确认后方可累计成绩。</w:t>
            </w:r>
          </w:p>
          <w:p>
            <w:pPr>
              <w:pStyle w:val="4"/>
              <w:widowControl/>
            </w:pPr>
            <w:r>
              <w:t>　　比赛成绩换算得分细则如下：</w:t>
            </w:r>
          </w:p>
          <w:tbl>
            <w:tblPr>
              <w:tblStyle w:val="5"/>
              <w:tblW w:w="4901" w:type="dxa"/>
              <w:tblCellSpacing w:w="15" w:type="dxa"/>
              <w:tblInd w:w="1" w:type="dxa"/>
              <w:tblBorders>
                <w:top w:val="single" w:color="F9050A" w:sz="6" w:space="0"/>
                <w:left w:val="single" w:color="F9050A" w:sz="6" w:space="0"/>
                <w:bottom w:val="single" w:color="F9050A" w:sz="6" w:space="0"/>
                <w:right w:val="single" w:color="F9050A" w:sz="6" w:space="0"/>
                <w:insideH w:val="outset" w:color="auto" w:sz="6" w:space="0"/>
                <w:insideV w:val="outset" w:color="auto" w:sz="6" w:space="0"/>
              </w:tblBorders>
              <w:tblLayout w:type="fixed"/>
              <w:tblCellMar>
                <w:top w:w="15" w:type="dxa"/>
                <w:left w:w="15" w:type="dxa"/>
                <w:bottom w:w="15" w:type="dxa"/>
                <w:right w:w="15" w:type="dxa"/>
              </w:tblCellMar>
            </w:tblPr>
            <w:tblGrid>
              <w:gridCol w:w="2910"/>
              <w:gridCol w:w="1991"/>
            </w:tblGrid>
            <w:tr>
              <w:tblPrEx>
                <w:tblBorders>
                  <w:top w:val="single" w:color="F9050A" w:sz="6" w:space="0"/>
                  <w:left w:val="single" w:color="F9050A" w:sz="6" w:space="0"/>
                  <w:bottom w:val="single" w:color="F9050A" w:sz="6" w:space="0"/>
                  <w:right w:val="single" w:color="F9050A"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865" w:type="dxa"/>
                  <w:shd w:val="clear" w:color="auto" w:fill="auto"/>
                  <w:vAlign w:val="center"/>
                </w:tcPr>
                <w:p>
                  <w:pPr>
                    <w:widowControl/>
                  </w:pPr>
                  <w:r>
                    <w:rPr>
                      <w:rFonts w:hint="eastAsia" w:ascii="仿宋" w:hAnsi="仿宋" w:eastAsia="仿宋" w:cs="Tahoma"/>
                      <w:b/>
                      <w:bCs/>
                      <w:color w:val="000000" w:themeColor="text1"/>
                      <w:sz w:val="24"/>
                    </w:rPr>
                    <w:t>所获奖项</w:t>
                  </w:r>
                </w:p>
              </w:tc>
              <w:tc>
                <w:tcPr>
                  <w:tcW w:w="1946" w:type="dxa"/>
                  <w:shd w:val="clear" w:color="auto" w:fill="auto"/>
                  <w:vAlign w:val="center"/>
                </w:tcPr>
                <w:p>
                  <w:pPr>
                    <w:widowControl/>
                  </w:pPr>
                  <w:r>
                    <w:rPr>
                      <w:rFonts w:hint="eastAsia" w:ascii="仿宋" w:hAnsi="仿宋" w:eastAsia="仿宋" w:cs="Tahoma"/>
                      <w:b/>
                      <w:bCs/>
                      <w:color w:val="000000" w:themeColor="text1"/>
                      <w:sz w:val="24"/>
                    </w:rPr>
                    <w:t>得分</w:t>
                  </w:r>
                </w:p>
              </w:tc>
            </w:tr>
            <w:tr>
              <w:tblPrEx>
                <w:tblBorders>
                  <w:top w:val="single" w:color="F9050A" w:sz="6" w:space="0"/>
                  <w:left w:val="single" w:color="F9050A" w:sz="6" w:space="0"/>
                  <w:bottom w:val="single" w:color="F9050A" w:sz="6" w:space="0"/>
                  <w:right w:val="single" w:color="F9050A"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865" w:type="dxa"/>
                  <w:shd w:val="clear" w:color="auto" w:fill="auto"/>
                  <w:vAlign w:val="center"/>
                </w:tcPr>
                <w:p>
                  <w:pPr>
                    <w:widowControl/>
                  </w:pPr>
                  <w:r>
                    <w:rPr>
                      <w:rFonts w:hint="eastAsia" w:ascii="仿宋" w:hAnsi="仿宋" w:eastAsia="仿宋" w:cs="Tahoma"/>
                      <w:color w:val="000000" w:themeColor="text1"/>
                      <w:sz w:val="24"/>
                    </w:rPr>
                    <w:t>获一次基础小组冠军</w:t>
                  </w:r>
                </w:p>
              </w:tc>
              <w:tc>
                <w:tcPr>
                  <w:tcW w:w="1946" w:type="dxa"/>
                  <w:shd w:val="clear" w:color="auto" w:fill="auto"/>
                  <w:vAlign w:val="center"/>
                </w:tcPr>
                <w:p>
                  <w:pPr>
                    <w:widowControl/>
                  </w:pPr>
                  <w:r>
                    <w:rPr>
                      <w:rFonts w:hint="eastAsia" w:ascii="仿宋" w:hAnsi="仿宋" w:eastAsia="仿宋" w:cs="Tahoma"/>
                      <w:color w:val="000000" w:themeColor="text1"/>
                      <w:sz w:val="24"/>
                    </w:rPr>
                    <w:t>100</w:t>
                  </w:r>
                </w:p>
              </w:tc>
            </w:tr>
            <w:tr>
              <w:tblPrEx>
                <w:tblBorders>
                  <w:top w:val="single" w:color="F9050A" w:sz="6" w:space="0"/>
                  <w:left w:val="single" w:color="F9050A" w:sz="6" w:space="0"/>
                  <w:bottom w:val="single" w:color="F9050A" w:sz="6" w:space="0"/>
                  <w:right w:val="single" w:color="F9050A"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865" w:type="dxa"/>
                  <w:shd w:val="clear" w:color="auto" w:fill="auto"/>
                  <w:vAlign w:val="center"/>
                </w:tcPr>
                <w:p>
                  <w:pPr>
                    <w:widowControl/>
                  </w:pPr>
                  <w:r>
                    <w:rPr>
                      <w:rFonts w:hint="eastAsia" w:ascii="仿宋" w:hAnsi="仿宋" w:eastAsia="仿宋" w:cs="Tahoma"/>
                      <w:color w:val="000000" w:themeColor="text1"/>
                      <w:sz w:val="24"/>
                    </w:rPr>
                    <w:t>获一次基础小组亚军</w:t>
                  </w:r>
                </w:p>
              </w:tc>
              <w:tc>
                <w:tcPr>
                  <w:tcW w:w="1946" w:type="dxa"/>
                  <w:shd w:val="clear" w:color="auto" w:fill="auto"/>
                  <w:vAlign w:val="center"/>
                </w:tcPr>
                <w:p>
                  <w:pPr>
                    <w:widowControl/>
                  </w:pPr>
                  <w:r>
                    <w:rPr>
                      <w:rFonts w:hint="eastAsia" w:ascii="仿宋" w:hAnsi="仿宋" w:eastAsia="仿宋" w:cs="Tahoma"/>
                      <w:color w:val="000000" w:themeColor="text1"/>
                      <w:sz w:val="24"/>
                    </w:rPr>
                    <w:t>90</w:t>
                  </w:r>
                </w:p>
              </w:tc>
            </w:tr>
            <w:tr>
              <w:tblPrEx>
                <w:tblBorders>
                  <w:top w:val="single" w:color="F9050A" w:sz="6" w:space="0"/>
                  <w:left w:val="single" w:color="F9050A" w:sz="6" w:space="0"/>
                  <w:bottom w:val="single" w:color="F9050A" w:sz="6" w:space="0"/>
                  <w:right w:val="single" w:color="F9050A"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865" w:type="dxa"/>
                  <w:shd w:val="clear" w:color="auto" w:fill="auto"/>
                  <w:vAlign w:val="center"/>
                </w:tcPr>
                <w:p>
                  <w:pPr>
                    <w:widowControl/>
                  </w:pPr>
                  <w:r>
                    <w:rPr>
                      <w:rFonts w:hint="eastAsia" w:ascii="仿宋" w:hAnsi="仿宋" w:eastAsia="仿宋" w:cs="Tahoma"/>
                      <w:color w:val="000000" w:themeColor="text1"/>
                      <w:sz w:val="24"/>
                    </w:rPr>
                    <w:t>获一次基础小组季军</w:t>
                  </w:r>
                </w:p>
              </w:tc>
              <w:tc>
                <w:tcPr>
                  <w:tcW w:w="1946" w:type="dxa"/>
                  <w:shd w:val="clear" w:color="auto" w:fill="auto"/>
                  <w:vAlign w:val="center"/>
                </w:tcPr>
                <w:p>
                  <w:pPr>
                    <w:widowControl/>
                  </w:pPr>
                  <w:r>
                    <w:rPr>
                      <w:rFonts w:hint="eastAsia" w:ascii="仿宋" w:hAnsi="仿宋" w:eastAsia="仿宋" w:cs="Tahoma"/>
                      <w:color w:val="000000" w:themeColor="text1"/>
                      <w:sz w:val="24"/>
                    </w:rPr>
                    <w:t>80</w:t>
                  </w:r>
                </w:p>
              </w:tc>
            </w:tr>
            <w:tr>
              <w:tblPrEx>
                <w:tblBorders>
                  <w:top w:val="single" w:color="F9050A" w:sz="6" w:space="0"/>
                  <w:left w:val="single" w:color="F9050A" w:sz="6" w:space="0"/>
                  <w:bottom w:val="single" w:color="F9050A" w:sz="6" w:space="0"/>
                  <w:right w:val="single" w:color="F9050A"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865" w:type="dxa"/>
                  <w:shd w:val="clear" w:color="auto" w:fill="auto"/>
                  <w:vAlign w:val="center"/>
                </w:tcPr>
                <w:p>
                  <w:pPr>
                    <w:widowControl/>
                  </w:pPr>
                  <w:r>
                    <w:rPr>
                      <w:rFonts w:hint="eastAsia" w:ascii="仿宋" w:hAnsi="仿宋" w:eastAsia="仿宋" w:cs="Tahoma"/>
                      <w:color w:val="000000" w:themeColor="text1"/>
                      <w:sz w:val="24"/>
                    </w:rPr>
                    <w:t>获一次基础小组4-10名</w:t>
                  </w:r>
                </w:p>
              </w:tc>
              <w:tc>
                <w:tcPr>
                  <w:tcW w:w="1946" w:type="dxa"/>
                  <w:shd w:val="clear" w:color="auto" w:fill="auto"/>
                  <w:vAlign w:val="center"/>
                </w:tcPr>
                <w:p>
                  <w:pPr>
                    <w:widowControl/>
                  </w:pPr>
                  <w:r>
                    <w:rPr>
                      <w:rFonts w:hint="eastAsia" w:ascii="仿宋" w:hAnsi="仿宋" w:eastAsia="仿宋" w:cs="Tahoma"/>
                      <w:color w:val="000000" w:themeColor="text1"/>
                      <w:sz w:val="24"/>
                    </w:rPr>
                    <w:t>75-45（依次减少5分）</w:t>
                  </w:r>
                </w:p>
              </w:tc>
            </w:tr>
            <w:tr>
              <w:tblPrEx>
                <w:tblBorders>
                  <w:top w:val="single" w:color="F9050A" w:sz="6" w:space="0"/>
                  <w:left w:val="single" w:color="F9050A" w:sz="6" w:space="0"/>
                  <w:bottom w:val="single" w:color="F9050A" w:sz="6" w:space="0"/>
                  <w:right w:val="single" w:color="F9050A"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865" w:type="dxa"/>
                  <w:shd w:val="clear" w:color="auto" w:fill="auto"/>
                  <w:vAlign w:val="center"/>
                </w:tcPr>
                <w:p>
                  <w:pPr>
                    <w:widowControl/>
                  </w:pPr>
                  <w:r>
                    <w:rPr>
                      <w:rFonts w:hint="eastAsia" w:ascii="仿宋" w:hAnsi="仿宋" w:eastAsia="仿宋" w:cs="Tahoma"/>
                      <w:color w:val="000000" w:themeColor="text1"/>
                      <w:sz w:val="24"/>
                    </w:rPr>
                    <w:t>获一次基础小组11-20名</w:t>
                  </w:r>
                </w:p>
              </w:tc>
              <w:tc>
                <w:tcPr>
                  <w:tcW w:w="1946" w:type="dxa"/>
                  <w:shd w:val="clear" w:color="auto" w:fill="auto"/>
                  <w:vAlign w:val="center"/>
                </w:tcPr>
                <w:p>
                  <w:pPr>
                    <w:widowControl/>
                  </w:pPr>
                  <w:r>
                    <w:rPr>
                      <w:rFonts w:hint="eastAsia" w:ascii="仿宋" w:hAnsi="仿宋" w:eastAsia="仿宋" w:cs="Tahoma"/>
                      <w:color w:val="000000" w:themeColor="text1"/>
                      <w:sz w:val="24"/>
                    </w:rPr>
                    <w:t>40</w:t>
                  </w:r>
                </w:p>
              </w:tc>
            </w:tr>
            <w:tr>
              <w:tblPrEx>
                <w:tblBorders>
                  <w:top w:val="single" w:color="F9050A" w:sz="6" w:space="0"/>
                  <w:left w:val="single" w:color="F9050A" w:sz="6" w:space="0"/>
                  <w:bottom w:val="single" w:color="F9050A" w:sz="6" w:space="0"/>
                  <w:right w:val="single" w:color="F9050A"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865" w:type="dxa"/>
                  <w:shd w:val="clear" w:color="auto" w:fill="auto"/>
                  <w:vAlign w:val="center"/>
                </w:tcPr>
                <w:p>
                  <w:pPr>
                    <w:widowControl/>
                  </w:pPr>
                  <w:r>
                    <w:rPr>
                      <w:rFonts w:hint="eastAsia" w:ascii="仿宋" w:hAnsi="仿宋" w:eastAsia="仿宋" w:cs="Tahoma"/>
                      <w:color w:val="000000" w:themeColor="text1"/>
                      <w:sz w:val="24"/>
                    </w:rPr>
                    <w:t>获一次单项组1-3名</w:t>
                  </w:r>
                </w:p>
              </w:tc>
              <w:tc>
                <w:tcPr>
                  <w:tcW w:w="1946" w:type="dxa"/>
                  <w:shd w:val="clear" w:color="auto" w:fill="auto"/>
                  <w:vAlign w:val="center"/>
                </w:tcPr>
                <w:p>
                  <w:pPr>
                    <w:widowControl/>
                  </w:pPr>
                  <w:r>
                    <w:rPr>
                      <w:rFonts w:hint="eastAsia" w:ascii="仿宋" w:hAnsi="仿宋" w:eastAsia="仿宋" w:cs="Tahoma"/>
                      <w:color w:val="000000" w:themeColor="text1"/>
                      <w:sz w:val="24"/>
                    </w:rPr>
                    <w:t>70/65/60</w:t>
                  </w:r>
                </w:p>
              </w:tc>
            </w:tr>
            <w:tr>
              <w:tblPrEx>
                <w:tblBorders>
                  <w:top w:val="single" w:color="F9050A" w:sz="6" w:space="0"/>
                  <w:left w:val="single" w:color="F9050A" w:sz="6" w:space="0"/>
                  <w:bottom w:val="single" w:color="F9050A" w:sz="6" w:space="0"/>
                  <w:right w:val="single" w:color="F9050A"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865" w:type="dxa"/>
                  <w:shd w:val="clear" w:color="auto" w:fill="auto"/>
                  <w:vAlign w:val="center"/>
                </w:tcPr>
                <w:p>
                  <w:pPr>
                    <w:widowControl/>
                  </w:pPr>
                  <w:r>
                    <w:rPr>
                      <w:rFonts w:hint="eastAsia" w:ascii="仿宋" w:hAnsi="仿宋" w:eastAsia="仿宋" w:cs="Tahoma"/>
                      <w:color w:val="000000" w:themeColor="text1"/>
                      <w:sz w:val="24"/>
                    </w:rPr>
                    <w:t>获一次轻量组净值1.5以上（含）</w:t>
                  </w:r>
                </w:p>
              </w:tc>
              <w:tc>
                <w:tcPr>
                  <w:tcW w:w="1946" w:type="dxa"/>
                  <w:shd w:val="clear" w:color="auto" w:fill="auto"/>
                  <w:vAlign w:val="center"/>
                </w:tcPr>
                <w:p>
                  <w:pPr>
                    <w:widowControl/>
                  </w:pPr>
                  <w:r>
                    <w:rPr>
                      <w:rFonts w:hint="eastAsia" w:ascii="仿宋" w:hAnsi="仿宋" w:eastAsia="仿宋" w:cs="Tahoma"/>
                      <w:color w:val="000000" w:themeColor="text1"/>
                      <w:sz w:val="24"/>
                    </w:rPr>
                    <w:t>30</w:t>
                  </w:r>
                </w:p>
              </w:tc>
            </w:tr>
            <w:tr>
              <w:tblPrEx>
                <w:tblBorders>
                  <w:top w:val="single" w:color="F9050A" w:sz="6" w:space="0"/>
                  <w:left w:val="single" w:color="F9050A" w:sz="6" w:space="0"/>
                  <w:bottom w:val="single" w:color="F9050A" w:sz="6" w:space="0"/>
                  <w:right w:val="single" w:color="F9050A"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865" w:type="dxa"/>
                  <w:shd w:val="clear" w:color="auto" w:fill="auto"/>
                  <w:vAlign w:val="center"/>
                </w:tcPr>
                <w:p>
                  <w:pPr>
                    <w:widowControl/>
                  </w:pPr>
                  <w:r>
                    <w:rPr>
                      <w:rFonts w:hint="eastAsia" w:ascii="仿宋" w:hAnsi="仿宋" w:eastAsia="仿宋" w:cs="Tahoma"/>
                      <w:color w:val="000000" w:themeColor="text1"/>
                      <w:sz w:val="24"/>
                    </w:rPr>
                    <w:t>获一次其他基础组净值1.2以上（含）</w:t>
                  </w:r>
                </w:p>
              </w:tc>
              <w:tc>
                <w:tcPr>
                  <w:tcW w:w="1946" w:type="dxa"/>
                  <w:shd w:val="clear" w:color="auto" w:fill="auto"/>
                  <w:vAlign w:val="center"/>
                </w:tcPr>
                <w:p>
                  <w:pPr>
                    <w:widowControl/>
                  </w:pPr>
                  <w:r>
                    <w:rPr>
                      <w:rFonts w:hint="eastAsia" w:ascii="仿宋" w:hAnsi="仿宋" w:eastAsia="仿宋" w:cs="Tahoma"/>
                      <w:color w:val="000000" w:themeColor="text1"/>
                      <w:sz w:val="24"/>
                    </w:rPr>
                    <w:t>30</w:t>
                  </w:r>
                </w:p>
              </w:tc>
            </w:tr>
          </w:tbl>
          <w:p>
            <w:pPr>
              <w:pStyle w:val="4"/>
              <w:widowControl/>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2" w:hRule="atLeast"/>
          <w:tblCellSpacing w:w="15" w:type="dxa"/>
        </w:trPr>
        <w:tc>
          <w:tcPr>
            <w:tcW w:w="1948" w:type="dxa"/>
            <w:vMerge w:val="continue"/>
            <w:shd w:val="clear" w:color="auto" w:fill="auto"/>
            <w:vAlign w:val="center"/>
          </w:tcPr>
          <w:p>
            <w:pPr>
              <w:rPr>
                <w:rFonts w:ascii="宋体"/>
                <w:sz w:val="24"/>
              </w:rPr>
            </w:pPr>
          </w:p>
        </w:tc>
        <w:tc>
          <w:tcPr>
            <w:tcW w:w="1349" w:type="dxa"/>
            <w:vMerge w:val="continue"/>
            <w:shd w:val="clear" w:color="auto" w:fill="auto"/>
            <w:vAlign w:val="center"/>
          </w:tcPr>
          <w:p>
            <w:pPr>
              <w:rPr>
                <w:rFonts w:ascii="宋体"/>
                <w:sz w:val="24"/>
              </w:rPr>
            </w:pPr>
          </w:p>
        </w:tc>
        <w:tc>
          <w:tcPr>
            <w:tcW w:w="4977" w:type="dxa"/>
            <w:vMerge w:val="continue"/>
            <w:shd w:val="clear" w:color="auto" w:fill="auto"/>
            <w:vAlign w:val="center"/>
          </w:tcPr>
          <w:p>
            <w:pPr>
              <w:rPr>
                <w:rFonts w:ascii="宋体"/>
                <w:sz w:val="24"/>
              </w:rPr>
            </w:pPr>
          </w:p>
        </w:tc>
      </w:tr>
    </w:tbl>
    <w:p>
      <w:pPr>
        <w:pStyle w:val="4"/>
        <w:widowControl/>
      </w:pPr>
      <w:r>
        <w:t> </w:t>
      </w:r>
    </w:p>
    <w:p>
      <w:pPr>
        <w:pStyle w:val="4"/>
        <w:widowControl/>
      </w:pPr>
    </w:p>
    <w:p>
      <w:pPr>
        <w:pStyle w:val="4"/>
        <w:widowControl/>
        <w:jc w:val="right"/>
      </w:pPr>
      <w:r>
        <w:rPr>
          <w:rFonts w:hint="eastAsia"/>
        </w:rPr>
        <w:t>全国期货实盘大赛组委会</w:t>
      </w:r>
    </w:p>
    <w:p>
      <w:pPr>
        <w:pStyle w:val="4"/>
        <w:widowControl/>
        <w:jc w:val="right"/>
      </w:pPr>
      <w:r>
        <w:rPr>
          <w:rFonts w:hint="eastAsia"/>
        </w:rPr>
        <w:t>2019年9月3日</w:t>
      </w:r>
    </w:p>
    <w:p>
      <w:pPr>
        <w:pStyle w:val="4"/>
        <w:widowControl/>
      </w:pPr>
    </w:p>
    <w:p>
      <w:pPr>
        <w:pStyle w:val="4"/>
        <w:widowControl/>
      </w:pPr>
    </w:p>
    <w:p>
      <w:pPr>
        <w:pStyle w:val="4"/>
        <w:widowControl/>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2F1206D"/>
    <w:rsid w:val="000E38AB"/>
    <w:rsid w:val="00113CCB"/>
    <w:rsid w:val="001248E5"/>
    <w:rsid w:val="00314A90"/>
    <w:rsid w:val="00321EC7"/>
    <w:rsid w:val="00361590"/>
    <w:rsid w:val="003A4B8A"/>
    <w:rsid w:val="003F7353"/>
    <w:rsid w:val="004217B3"/>
    <w:rsid w:val="007D14A8"/>
    <w:rsid w:val="00AE06F3"/>
    <w:rsid w:val="00B07314"/>
    <w:rsid w:val="00CD5B47"/>
    <w:rsid w:val="00F61742"/>
    <w:rsid w:val="00FB5C58"/>
    <w:rsid w:val="06027454"/>
    <w:rsid w:val="078E5DE8"/>
    <w:rsid w:val="2E0E4013"/>
    <w:rsid w:val="41470A26"/>
    <w:rsid w:val="444B1BE5"/>
    <w:rsid w:val="4C8570DB"/>
    <w:rsid w:val="5C560CC1"/>
    <w:rsid w:val="687B323C"/>
    <w:rsid w:val="68B34EED"/>
    <w:rsid w:val="6D535020"/>
    <w:rsid w:val="72EB2678"/>
    <w:rsid w:val="72F12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FollowedHyperlink"/>
    <w:basedOn w:val="6"/>
    <w:uiPriority w:val="0"/>
    <w:rPr>
      <w:color w:val="954F72" w:themeColor="followedHyperlink"/>
      <w:u w:val="single"/>
    </w:rPr>
  </w:style>
  <w:style w:type="character" w:styleId="9">
    <w:name w:val="Hyperlink"/>
    <w:basedOn w:val="6"/>
    <w:qFormat/>
    <w:uiPriority w:val="0"/>
    <w:rPr>
      <w:color w:val="0000FF"/>
      <w:u w:val="single"/>
    </w:rPr>
  </w:style>
  <w:style w:type="character" w:customStyle="1" w:styleId="10">
    <w:name w:val="页眉 Char"/>
    <w:basedOn w:val="6"/>
    <w:link w:val="3"/>
    <w:qFormat/>
    <w:uiPriority w:val="0"/>
    <w:rPr>
      <w:rFonts w:asciiTheme="minorHAnsi" w:hAnsiTheme="minorHAnsi" w:eastAsiaTheme="minorEastAsia" w:cstheme="minorBidi"/>
      <w:kern w:val="2"/>
      <w:sz w:val="18"/>
      <w:szCs w:val="18"/>
    </w:rPr>
  </w:style>
  <w:style w:type="character" w:customStyle="1" w:styleId="11">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183</Words>
  <Characters>1048</Characters>
  <Lines>8</Lines>
  <Paragraphs>2</Paragraphs>
  <TotalTime>6</TotalTime>
  <ScaleCrop>false</ScaleCrop>
  <LinksUpToDate>false</LinksUpToDate>
  <CharactersWithSpaces>1229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2018-09-06T02:10:00Z</dcterms:created>
  <dc:creator>Administrator</dc:creator>
  <cp:lastModifiedBy>苏亚婷</cp:lastModifiedBy>
  <dcterms:modified xsi:type="dcterms:W3CDTF">2019-09-03T08:14:45Z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