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基本面有改善，苯乙烯或震荡偏强</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上周苯乙烯价格触底回升，原油价格拖累的影响减弱，基本面也有所改善。后市来看，</w:t>
      </w:r>
      <w:r>
        <w:rPr>
          <w:rFonts w:hint="eastAsia" w:ascii="仿宋" w:hAnsi="仿宋" w:eastAsia="仿宋" w:cs="仿宋"/>
          <w:sz w:val="28"/>
          <w:szCs w:val="28"/>
          <w:lang w:val="en-US" w:eastAsia="zh-CN"/>
        </w:rPr>
        <w:t>成本端有支撑，且下游开工小升，苯乙烯价格或震荡偏强，可逢低略偏多操作，设好止盈止损。</w:t>
      </w:r>
    </w:p>
    <w:p>
      <w:pP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一、影响因素分析</w:t>
      </w:r>
    </w:p>
    <w:p>
      <w:p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成本端支撑良好</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截至周一，墨西哥湾超过21%的石油生产已经关闭，以应对飓风“萨利”。美国安全和环境执法局的数据显示，墨西哥湾21.4%的石油生产和25.3%的天然气生产已被关闭，共有147个平台被疏散，占地区总量的22.9%。美国国家飓风中心预计飓风将于当地时间晚上接近路易斯安那州东南部，并在周二或周三晚上登陆。受飓风影响，乙烯供应紧张，价格出现上扬，对苯乙烯价格形成支撑。</w:t>
      </w:r>
    </w:p>
    <w:tbl>
      <w:tblPr>
        <w:tblStyle w:val="4"/>
        <w:tblW w:w="9960" w:type="dxa"/>
        <w:jc w:val="center"/>
        <w:tblInd w:w="0" w:type="dxa"/>
        <w:tblLayout w:type="fixed"/>
        <w:tblCellMar>
          <w:top w:w="0" w:type="dxa"/>
          <w:left w:w="0" w:type="dxa"/>
          <w:bottom w:w="0" w:type="dxa"/>
          <w:right w:w="0" w:type="dxa"/>
        </w:tblCellMar>
      </w:tblPr>
      <w:tblGrid>
        <w:gridCol w:w="4847"/>
        <w:gridCol w:w="240"/>
        <w:gridCol w:w="4873"/>
      </w:tblGrid>
      <w:tr>
        <w:tblPrEx>
          <w:tblLayout w:type="fixed"/>
          <w:tblCellMar>
            <w:top w:w="0" w:type="dxa"/>
            <w:left w:w="0" w:type="dxa"/>
            <w:bottom w:w="0" w:type="dxa"/>
            <w:right w:w="0" w:type="dxa"/>
          </w:tblCellMar>
        </w:tblPrEx>
        <w:trPr>
          <w:trHeight w:val="172" w:hRule="exact"/>
          <w:jc w:val="center"/>
        </w:trPr>
        <w:tc>
          <w:tcPr>
            <w:tcW w:w="4847" w:type="dxa"/>
            <w:tcBorders>
              <w:top w:val="nil"/>
              <w:left w:val="nil"/>
              <w:bottom w:val="nil"/>
              <w:right w:val="nil"/>
            </w:tcBorders>
            <w:shd w:val="clear" w:color="auto" w:fill="auto"/>
            <w:vAlign w:val="center"/>
          </w:tcPr>
          <w:p>
            <w:pPr>
              <w:widowControl w:val="0"/>
              <w:jc w:val="both"/>
              <w:rPr>
                <w:rFonts w:ascii="Arial" w:hAnsi="Arial" w:eastAsia="黑体" w:cs="Arial"/>
                <w:b/>
                <w:color w:val="B60005"/>
                <w:kern w:val="2"/>
                <w:sz w:val="18"/>
                <w:szCs w:val="18"/>
                <w:lang w:val="en-US" w:eastAsia="zh-CN" w:bidi="ar-SA"/>
              </w:rPr>
            </w:pPr>
          </w:p>
        </w:tc>
        <w:tc>
          <w:tcPr>
            <w:tcW w:w="240" w:type="dxa"/>
            <w:tcBorders>
              <w:left w:val="nil"/>
              <w:right w:val="nil"/>
            </w:tcBorders>
            <w:shd w:val="clear" w:color="auto" w:fill="auto"/>
            <w:vAlign w:val="center"/>
          </w:tcPr>
          <w:p>
            <w:pPr>
              <w:widowControl w:val="0"/>
              <w:spacing w:after="240" w:line="320" w:lineRule="exact"/>
              <w:ind w:firstLine="0" w:firstLineChars="0"/>
              <w:jc w:val="both"/>
              <w:rPr>
                <w:rFonts w:ascii="Times New Roman" w:hAnsi="Times New Roman" w:eastAsia="楷体_GB2312" w:cs="Times New Roman"/>
                <w:kern w:val="2"/>
                <w:sz w:val="21"/>
                <w:szCs w:val="22"/>
                <w:lang w:val="en-US" w:eastAsia="zh-CN" w:bidi="ar-SA"/>
              </w:rPr>
            </w:pPr>
          </w:p>
        </w:tc>
        <w:tc>
          <w:tcPr>
            <w:tcW w:w="4873" w:type="dxa"/>
            <w:tcBorders>
              <w:top w:val="nil"/>
              <w:left w:val="nil"/>
              <w:bottom w:val="nil"/>
              <w:right w:val="nil"/>
            </w:tcBorders>
            <w:shd w:val="clear" w:color="auto" w:fill="auto"/>
            <w:vAlign w:val="center"/>
          </w:tcPr>
          <w:p>
            <w:pPr>
              <w:widowControl w:val="0"/>
              <w:rPr>
                <w:rFonts w:ascii="Arial" w:hAnsi="Arial" w:eastAsia="黑体" w:cs="Arial"/>
                <w:b/>
                <w:color w:val="B60005"/>
                <w:kern w:val="2"/>
                <w:sz w:val="18"/>
                <w:szCs w:val="18"/>
                <w:lang w:val="en-US" w:eastAsia="zh-CN" w:bidi="ar-SA"/>
              </w:rPr>
            </w:pPr>
          </w:p>
        </w:tc>
      </w:tr>
      <w:tr>
        <w:tblPrEx>
          <w:tblLayout w:type="fixed"/>
          <w:tblCellMar>
            <w:top w:w="0" w:type="dxa"/>
            <w:left w:w="0" w:type="dxa"/>
            <w:bottom w:w="0" w:type="dxa"/>
            <w:right w:w="0" w:type="dxa"/>
          </w:tblCellMar>
        </w:tblPrEx>
        <w:trPr>
          <w:trHeight w:val="296" w:hRule="exact"/>
          <w:jc w:val="center"/>
        </w:trPr>
        <w:tc>
          <w:tcPr>
            <w:tcW w:w="4847" w:type="dxa"/>
            <w:tcBorders>
              <w:top w:val="nil"/>
              <w:bottom w:val="single" w:color="9CC2E5" w:sz="12" w:space="0"/>
            </w:tcBorders>
            <w:shd w:val="clear" w:color="auto" w:fill="auto"/>
            <w:vAlign w:val="center"/>
          </w:tcPr>
          <w:p>
            <w:pPr>
              <w:widowControl w:val="0"/>
              <w:jc w:val="both"/>
              <w:rPr>
                <w:rFonts w:ascii="Arial" w:hAnsi="Arial" w:eastAsia="黑体" w:cs="Arial"/>
                <w:b/>
                <w:color w:val="B60005"/>
                <w:kern w:val="2"/>
                <w:sz w:val="18"/>
                <w:szCs w:val="18"/>
                <w:lang w:val="en-US" w:eastAsia="zh-CN" w:bidi="ar-SA"/>
              </w:rPr>
            </w:pPr>
            <w:r>
              <w:rPr>
                <w:rFonts w:hint="eastAsia" w:ascii="Arial" w:hAnsi="Arial" w:eastAsia="黑体" w:cs="Arial"/>
                <w:b/>
                <w:color w:val="B60005"/>
                <w:kern w:val="2"/>
                <w:sz w:val="18"/>
                <w:szCs w:val="18"/>
                <w:lang w:val="en-US" w:eastAsia="zh-CN" w:bidi="ar-SA"/>
              </w:rPr>
              <w:t>图 1：国际原油价格</w:t>
            </w:r>
            <w:r>
              <w:rPr>
                <w:rFonts w:ascii="Arial" w:hAnsi="Arial" w:eastAsia="黑体" w:cs="Arial"/>
                <w:b/>
                <w:color w:val="B60005"/>
                <w:kern w:val="2"/>
                <w:sz w:val="18"/>
                <w:szCs w:val="18"/>
                <w:lang w:val="en-US" w:eastAsia="zh-CN" w:bidi="ar-SA"/>
              </w:rPr>
              <w:t xml:space="preserve"> </w:t>
            </w:r>
            <w:r>
              <w:rPr>
                <w:rFonts w:hint="eastAsia" w:ascii="Arial" w:hAnsi="Arial" w:eastAsia="黑体" w:cs="Arial"/>
                <w:b/>
                <w:color w:val="B60005"/>
                <w:kern w:val="2"/>
                <w:sz w:val="18"/>
                <w:szCs w:val="18"/>
                <w:lang w:val="en-US" w:eastAsia="zh-CN" w:bidi="ar-SA"/>
              </w:rPr>
              <w:t xml:space="preserve">                     单位：美元/吨</w:t>
            </w:r>
          </w:p>
        </w:tc>
        <w:tc>
          <w:tcPr>
            <w:tcW w:w="240" w:type="dxa"/>
            <w:shd w:val="clear" w:color="auto" w:fill="auto"/>
            <w:vAlign w:val="center"/>
          </w:tcPr>
          <w:p>
            <w:pPr>
              <w:widowControl w:val="0"/>
              <w:spacing w:after="240" w:line="320" w:lineRule="exact"/>
              <w:ind w:firstLine="0" w:firstLineChars="0"/>
              <w:jc w:val="both"/>
              <w:rPr>
                <w:rFonts w:ascii="Times New Roman" w:hAnsi="Times New Roman" w:eastAsia="楷体_GB2312" w:cs="Times New Roman"/>
                <w:kern w:val="2"/>
                <w:sz w:val="21"/>
                <w:szCs w:val="22"/>
                <w:lang w:val="en-US" w:eastAsia="zh-CN" w:bidi="ar-SA"/>
              </w:rPr>
            </w:pPr>
          </w:p>
        </w:tc>
        <w:tc>
          <w:tcPr>
            <w:tcW w:w="4873" w:type="dxa"/>
            <w:tcBorders>
              <w:top w:val="nil"/>
              <w:bottom w:val="single" w:color="9CC2E5" w:sz="12" w:space="0"/>
            </w:tcBorders>
            <w:shd w:val="clear" w:color="auto" w:fill="auto"/>
            <w:vAlign w:val="center"/>
          </w:tcPr>
          <w:p>
            <w:pPr>
              <w:widowControl w:val="0"/>
              <w:rPr>
                <w:rFonts w:hint="default" w:ascii="Arial" w:hAnsi="Arial" w:eastAsia="黑体" w:cs="Arial"/>
                <w:b/>
                <w:color w:val="B60005"/>
                <w:kern w:val="2"/>
                <w:sz w:val="18"/>
                <w:szCs w:val="18"/>
                <w:lang w:val="en-US" w:eastAsia="zh-CN" w:bidi="ar-SA"/>
              </w:rPr>
            </w:pPr>
            <w:r>
              <w:rPr>
                <w:rFonts w:hint="eastAsia" w:ascii="Arial" w:hAnsi="Arial" w:eastAsia="黑体" w:cs="Arial"/>
                <w:b/>
                <w:color w:val="B60005"/>
                <w:kern w:val="2"/>
                <w:sz w:val="18"/>
                <w:szCs w:val="18"/>
                <w:lang w:val="en-US" w:eastAsia="zh-CN" w:bidi="ar-SA"/>
              </w:rPr>
              <w:t>图 2：乙烯现货价                        单位：美元/吨</w:t>
            </w:r>
          </w:p>
        </w:tc>
      </w:tr>
      <w:tr>
        <w:tblPrEx>
          <w:tblLayout w:type="fixed"/>
          <w:tblCellMar>
            <w:top w:w="0" w:type="dxa"/>
            <w:left w:w="0" w:type="dxa"/>
            <w:bottom w:w="0" w:type="dxa"/>
            <w:right w:w="0" w:type="dxa"/>
          </w:tblCellMar>
        </w:tblPrEx>
        <w:trPr>
          <w:trHeight w:val="2538" w:hRule="exact"/>
          <w:jc w:val="center"/>
        </w:trPr>
        <w:tc>
          <w:tcPr>
            <w:tcW w:w="4847" w:type="dxa"/>
            <w:tcBorders>
              <w:top w:val="single" w:color="9CC2E5" w:sz="12" w:space="0"/>
              <w:bottom w:val="single" w:color="9CC2E5" w:sz="12" w:space="0"/>
            </w:tcBorders>
            <w:shd w:val="clear" w:color="auto" w:fill="auto"/>
            <w:vAlign w:val="center"/>
          </w:tcPr>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r>
              <w:drawing>
                <wp:inline distT="0" distB="0" distL="114300" distR="114300">
                  <wp:extent cx="3071495" cy="1511300"/>
                  <wp:effectExtent l="0" t="0" r="14605" b="1270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4"/>
                          <a:stretch>
                            <a:fillRect/>
                          </a:stretch>
                        </pic:blipFill>
                        <pic:spPr>
                          <a:xfrm>
                            <a:off x="0" y="0"/>
                            <a:ext cx="3071495" cy="1511300"/>
                          </a:xfrm>
                          <a:prstGeom prst="rect">
                            <a:avLst/>
                          </a:prstGeom>
                          <a:noFill/>
                          <a:ln>
                            <a:noFill/>
                          </a:ln>
                        </pic:spPr>
                      </pic:pic>
                    </a:graphicData>
                  </a:graphic>
                </wp:inline>
              </w:drawing>
            </w: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widowControl w:val="0"/>
              <w:spacing w:after="0" w:line="240" w:lineRule="auto"/>
              <w:ind w:firstLine="0" w:firstLineChars="0"/>
              <w:jc w:val="center"/>
              <w:rPr>
                <w:rFonts w:ascii="Times New Roman" w:hAnsi="Times New Roman" w:eastAsia="楷体_GB2312" w:cs="Times New Roman"/>
                <w:kern w:val="2"/>
                <w:sz w:val="21"/>
                <w:szCs w:val="22"/>
                <w:lang w:val="en-US" w:eastAsia="zh-CN" w:bidi="ar-SA"/>
              </w:rPr>
            </w:pPr>
          </w:p>
        </w:tc>
        <w:tc>
          <w:tcPr>
            <w:tcW w:w="240" w:type="dxa"/>
            <w:shd w:val="clear" w:color="auto" w:fill="auto"/>
            <w:vAlign w:val="center"/>
          </w:tcPr>
          <w:p>
            <w:pPr>
              <w:widowControl w:val="0"/>
              <w:spacing w:after="0" w:line="240" w:lineRule="auto"/>
              <w:ind w:firstLine="0" w:firstLineChars="0"/>
              <w:jc w:val="center"/>
              <w:rPr>
                <w:rFonts w:ascii="Times New Roman" w:hAnsi="Times New Roman" w:eastAsia="楷体_GB2312" w:cs="Times New Roman"/>
                <w:kern w:val="2"/>
                <w:sz w:val="21"/>
                <w:szCs w:val="22"/>
                <w:lang w:val="en-US" w:eastAsia="zh-CN" w:bidi="ar-SA"/>
              </w:rPr>
            </w:pPr>
          </w:p>
        </w:tc>
        <w:tc>
          <w:tcPr>
            <w:tcW w:w="4873" w:type="dxa"/>
            <w:tcBorders>
              <w:top w:val="single" w:color="9CC2E5" w:sz="12" w:space="0"/>
              <w:bottom w:val="single" w:color="9CC2E5" w:sz="12" w:space="0"/>
            </w:tcBorders>
            <w:shd w:val="clear" w:color="auto" w:fill="auto"/>
            <w:vAlign w:val="center"/>
          </w:tcPr>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r>
              <w:drawing>
                <wp:inline distT="0" distB="0" distL="114300" distR="114300">
                  <wp:extent cx="3088005" cy="1565910"/>
                  <wp:effectExtent l="0" t="0" r="17145" b="152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a:stretch>
                            <a:fillRect/>
                          </a:stretch>
                        </pic:blipFill>
                        <pic:spPr>
                          <a:xfrm>
                            <a:off x="0" y="0"/>
                            <a:ext cx="3088005" cy="1565910"/>
                          </a:xfrm>
                          <a:prstGeom prst="rect">
                            <a:avLst/>
                          </a:prstGeom>
                          <a:noFill/>
                          <a:ln>
                            <a:noFill/>
                          </a:ln>
                        </pic:spPr>
                      </pic:pic>
                    </a:graphicData>
                  </a:graphic>
                </wp:inline>
              </w:drawing>
            </w: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widowControl w:val="0"/>
              <w:spacing w:after="0" w:line="240" w:lineRule="auto"/>
              <w:ind w:firstLine="0" w:firstLineChars="0"/>
              <w:jc w:val="center"/>
              <w:rPr>
                <w:rFonts w:ascii="Times New Roman" w:hAnsi="Times New Roman" w:eastAsia="楷体_GB2312" w:cs="Times New Roman"/>
                <w:kern w:val="2"/>
                <w:sz w:val="21"/>
                <w:szCs w:val="22"/>
                <w:lang w:val="en-US" w:eastAsia="zh-CN" w:bidi="ar-SA"/>
              </w:rPr>
            </w:pPr>
          </w:p>
        </w:tc>
      </w:tr>
      <w:tr>
        <w:tblPrEx>
          <w:tblLayout w:type="fixed"/>
          <w:tblCellMar>
            <w:top w:w="0" w:type="dxa"/>
            <w:left w:w="0" w:type="dxa"/>
            <w:bottom w:w="0" w:type="dxa"/>
            <w:right w:w="0" w:type="dxa"/>
          </w:tblCellMar>
        </w:tblPrEx>
        <w:trPr>
          <w:trHeight w:val="296" w:hRule="exact"/>
          <w:jc w:val="center"/>
        </w:trPr>
        <w:tc>
          <w:tcPr>
            <w:tcW w:w="4847" w:type="dxa"/>
            <w:tcBorders>
              <w:top w:val="single" w:color="9CC2E5" w:sz="12" w:space="0"/>
              <w:bottom w:val="nil"/>
            </w:tcBorders>
            <w:shd w:val="clear" w:color="auto" w:fill="auto"/>
            <w:vAlign w:val="center"/>
          </w:tcPr>
          <w:p>
            <w:pPr>
              <w:widowControl w:val="0"/>
              <w:spacing w:after="120"/>
              <w:jc w:val="both"/>
              <w:rPr>
                <w:rFonts w:ascii="Times New Roman" w:hAnsi="Times New Roman" w:eastAsia="楷体_GB2312" w:cs="Times New Roman"/>
                <w:kern w:val="2"/>
                <w:sz w:val="18"/>
                <w:szCs w:val="18"/>
                <w:lang w:val="en-US" w:eastAsia="zh-CN" w:bidi="ar-SA"/>
              </w:rPr>
            </w:pPr>
            <w:r>
              <w:rPr>
                <w:rFonts w:hint="eastAsia" w:ascii="Times New Roman" w:hAnsi="Times New Roman" w:eastAsia="楷体_GB2312" w:cs="Times New Roman"/>
                <w:kern w:val="2"/>
                <w:sz w:val="18"/>
                <w:szCs w:val="18"/>
                <w:lang w:val="en-US" w:eastAsia="zh-CN" w:bidi="ar-SA"/>
              </w:rPr>
              <w:t>资料来源：</w:t>
            </w:r>
            <w:r>
              <w:rPr>
                <w:rFonts w:hint="eastAsia" w:eastAsia="楷体_GB2312" w:cs="Times New Roman"/>
                <w:kern w:val="2"/>
                <w:sz w:val="18"/>
                <w:szCs w:val="18"/>
                <w:lang w:val="en-US" w:eastAsia="zh-CN" w:bidi="ar-SA"/>
              </w:rPr>
              <w:t>WIND</w:t>
            </w:r>
            <w:r>
              <w:rPr>
                <w:rFonts w:hint="eastAsia" w:ascii="Times New Roman" w:hAnsi="Times New Roman" w:eastAsia="楷体_GB2312" w:cs="Times New Roman"/>
                <w:kern w:val="2"/>
                <w:sz w:val="18"/>
                <w:szCs w:val="18"/>
                <w:lang w:val="en-US" w:eastAsia="zh-CN" w:bidi="ar-SA"/>
              </w:rPr>
              <w:t>，长安期货</w:t>
            </w:r>
          </w:p>
        </w:tc>
        <w:tc>
          <w:tcPr>
            <w:tcW w:w="240" w:type="dxa"/>
            <w:shd w:val="clear" w:color="auto" w:fill="auto"/>
            <w:vAlign w:val="center"/>
          </w:tcPr>
          <w:p>
            <w:pPr>
              <w:widowControl w:val="0"/>
              <w:spacing w:after="240" w:line="320" w:lineRule="exact"/>
              <w:ind w:firstLine="0" w:firstLineChars="0"/>
              <w:jc w:val="both"/>
              <w:rPr>
                <w:rFonts w:ascii="Times New Roman" w:hAnsi="Times New Roman" w:eastAsia="楷体_GB2312" w:cs="Times New Roman"/>
                <w:kern w:val="2"/>
                <w:sz w:val="21"/>
                <w:szCs w:val="22"/>
                <w:lang w:val="en-US" w:eastAsia="zh-CN" w:bidi="ar-SA"/>
              </w:rPr>
            </w:pPr>
          </w:p>
        </w:tc>
        <w:tc>
          <w:tcPr>
            <w:tcW w:w="4873" w:type="dxa"/>
            <w:tcBorders>
              <w:top w:val="single" w:color="9CC2E5" w:sz="12" w:space="0"/>
              <w:bottom w:val="nil"/>
            </w:tcBorders>
            <w:shd w:val="clear" w:color="auto" w:fill="auto"/>
            <w:vAlign w:val="center"/>
          </w:tcPr>
          <w:p>
            <w:pPr>
              <w:widowControl w:val="0"/>
              <w:spacing w:after="120"/>
              <w:jc w:val="both"/>
              <w:rPr>
                <w:rFonts w:ascii="Times New Roman" w:hAnsi="Times New Roman" w:eastAsia="楷体_GB2312" w:cs="Times New Roman"/>
                <w:kern w:val="2"/>
                <w:sz w:val="18"/>
                <w:szCs w:val="18"/>
                <w:lang w:val="en-US" w:eastAsia="zh-CN" w:bidi="ar-SA"/>
              </w:rPr>
            </w:pPr>
            <w:r>
              <w:rPr>
                <w:rFonts w:hint="eastAsia" w:ascii="Times New Roman" w:hAnsi="Times New Roman" w:eastAsia="楷体_GB2312" w:cs="Times New Roman"/>
                <w:kern w:val="2"/>
                <w:sz w:val="18"/>
                <w:szCs w:val="18"/>
                <w:lang w:val="en-US" w:eastAsia="zh-CN" w:bidi="ar-SA"/>
              </w:rPr>
              <w:t>资料来源：</w:t>
            </w:r>
            <w:r>
              <w:rPr>
                <w:rFonts w:hint="eastAsia" w:eastAsia="楷体_GB2312" w:cs="Times New Roman"/>
                <w:kern w:val="2"/>
                <w:sz w:val="18"/>
                <w:szCs w:val="18"/>
                <w:lang w:val="en-US" w:eastAsia="zh-CN" w:bidi="ar-SA"/>
              </w:rPr>
              <w:t>WIND</w:t>
            </w:r>
            <w:r>
              <w:rPr>
                <w:rFonts w:hint="eastAsia" w:ascii="Times New Roman" w:hAnsi="Times New Roman" w:eastAsia="楷体_GB2312" w:cs="Times New Roman"/>
                <w:kern w:val="2"/>
                <w:sz w:val="18"/>
                <w:szCs w:val="18"/>
                <w:lang w:val="en-US" w:eastAsia="zh-CN" w:bidi="ar-SA"/>
              </w:rPr>
              <w:t>，长安期货</w:t>
            </w:r>
          </w:p>
        </w:tc>
      </w:tr>
      <w:tr>
        <w:tblPrEx>
          <w:tblLayout w:type="fixed"/>
          <w:tblCellMar>
            <w:top w:w="0" w:type="dxa"/>
            <w:left w:w="0" w:type="dxa"/>
            <w:bottom w:w="0" w:type="dxa"/>
            <w:right w:w="0" w:type="dxa"/>
          </w:tblCellMar>
        </w:tblPrEx>
        <w:trPr>
          <w:trHeight w:val="129" w:hRule="exact"/>
          <w:jc w:val="center"/>
        </w:trPr>
        <w:tc>
          <w:tcPr>
            <w:tcW w:w="4847" w:type="dxa"/>
            <w:tcBorders>
              <w:top w:val="nil"/>
              <w:left w:val="nil"/>
              <w:bottom w:val="nil"/>
              <w:right w:val="nil"/>
            </w:tcBorders>
            <w:shd w:val="clear" w:color="auto" w:fill="auto"/>
            <w:vAlign w:val="center"/>
          </w:tcPr>
          <w:p>
            <w:pPr>
              <w:widowControl w:val="0"/>
              <w:spacing w:after="120"/>
              <w:jc w:val="center"/>
              <w:rPr>
                <w:rFonts w:ascii="Times New Roman" w:hAnsi="Times New Roman" w:eastAsia="楷体_GB2312" w:cs="Times New Roman"/>
                <w:kern w:val="2"/>
                <w:sz w:val="18"/>
                <w:szCs w:val="18"/>
                <w:lang w:val="en-US" w:eastAsia="zh-CN" w:bidi="ar-SA"/>
              </w:rPr>
            </w:pPr>
          </w:p>
        </w:tc>
        <w:tc>
          <w:tcPr>
            <w:tcW w:w="240" w:type="dxa"/>
            <w:tcBorders>
              <w:left w:val="nil"/>
              <w:right w:val="nil"/>
            </w:tcBorders>
            <w:shd w:val="clear" w:color="auto" w:fill="auto"/>
            <w:vAlign w:val="center"/>
          </w:tcPr>
          <w:p>
            <w:pPr>
              <w:widowControl w:val="0"/>
              <w:spacing w:after="240" w:line="320" w:lineRule="exact"/>
              <w:ind w:firstLine="0" w:firstLineChars="0"/>
              <w:jc w:val="both"/>
              <w:rPr>
                <w:rFonts w:ascii="Times New Roman" w:hAnsi="Times New Roman" w:eastAsia="楷体_GB2312" w:cs="Times New Roman"/>
                <w:kern w:val="2"/>
                <w:sz w:val="21"/>
                <w:szCs w:val="22"/>
                <w:lang w:val="en-US" w:eastAsia="zh-CN" w:bidi="ar-SA"/>
              </w:rPr>
            </w:pPr>
          </w:p>
        </w:tc>
        <w:tc>
          <w:tcPr>
            <w:tcW w:w="4873" w:type="dxa"/>
            <w:tcBorders>
              <w:top w:val="nil"/>
              <w:left w:val="nil"/>
              <w:bottom w:val="nil"/>
              <w:right w:val="nil"/>
            </w:tcBorders>
            <w:shd w:val="clear" w:color="auto" w:fill="auto"/>
            <w:vAlign w:val="center"/>
          </w:tcPr>
          <w:p>
            <w:pPr>
              <w:widowControl w:val="0"/>
              <w:spacing w:after="120"/>
              <w:jc w:val="both"/>
              <w:rPr>
                <w:rFonts w:ascii="Times New Roman" w:hAnsi="Times New Roman" w:eastAsia="楷体_GB2312" w:cs="Times New Roman"/>
                <w:kern w:val="2"/>
                <w:sz w:val="18"/>
                <w:szCs w:val="18"/>
                <w:lang w:val="en-US" w:eastAsia="zh-CN" w:bidi="ar-SA"/>
              </w:rPr>
            </w:pPr>
          </w:p>
        </w:tc>
      </w:tr>
    </w:tbl>
    <w:p>
      <w:pPr>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港口库存下降</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据海关总署，7月我国苯乙烯进口量约为27.42万吨，环比减少13.83%，预计9-10月进口量维持不高的水平。9月10日，全国苯乙烯开工率为85.35%，相较于疫情过后快速走高，有小幅的回落之势。</w:t>
      </w:r>
    </w:p>
    <w:tbl>
      <w:tblPr>
        <w:tblStyle w:val="4"/>
        <w:tblW w:w="9960" w:type="dxa"/>
        <w:jc w:val="center"/>
        <w:tblInd w:w="0" w:type="dxa"/>
        <w:tblLayout w:type="fixed"/>
        <w:tblCellMar>
          <w:top w:w="0" w:type="dxa"/>
          <w:left w:w="0" w:type="dxa"/>
          <w:bottom w:w="0" w:type="dxa"/>
          <w:right w:w="0" w:type="dxa"/>
        </w:tblCellMar>
      </w:tblPr>
      <w:tblGrid>
        <w:gridCol w:w="4847"/>
        <w:gridCol w:w="240"/>
        <w:gridCol w:w="4873"/>
      </w:tblGrid>
      <w:tr>
        <w:tblPrEx>
          <w:tblLayout w:type="fixed"/>
          <w:tblCellMar>
            <w:top w:w="0" w:type="dxa"/>
            <w:left w:w="0" w:type="dxa"/>
            <w:bottom w:w="0" w:type="dxa"/>
            <w:right w:w="0" w:type="dxa"/>
          </w:tblCellMar>
        </w:tblPrEx>
        <w:trPr>
          <w:trHeight w:val="172" w:hRule="exact"/>
          <w:jc w:val="center"/>
        </w:trPr>
        <w:tc>
          <w:tcPr>
            <w:tcW w:w="4847" w:type="dxa"/>
            <w:tcBorders>
              <w:top w:val="nil"/>
              <w:left w:val="nil"/>
              <w:bottom w:val="nil"/>
              <w:right w:val="nil"/>
            </w:tcBorders>
            <w:shd w:val="clear" w:color="auto" w:fill="auto"/>
            <w:vAlign w:val="center"/>
          </w:tcPr>
          <w:p>
            <w:pPr>
              <w:widowControl w:val="0"/>
              <w:jc w:val="both"/>
              <w:rPr>
                <w:rFonts w:ascii="Arial" w:hAnsi="Arial" w:eastAsia="黑体" w:cs="Arial"/>
                <w:b/>
                <w:color w:val="B60005"/>
                <w:kern w:val="2"/>
                <w:sz w:val="18"/>
                <w:szCs w:val="18"/>
                <w:lang w:val="en-US" w:eastAsia="zh-CN" w:bidi="ar-SA"/>
              </w:rPr>
            </w:pPr>
          </w:p>
        </w:tc>
        <w:tc>
          <w:tcPr>
            <w:tcW w:w="240" w:type="dxa"/>
            <w:tcBorders>
              <w:left w:val="nil"/>
              <w:right w:val="nil"/>
            </w:tcBorders>
            <w:shd w:val="clear" w:color="auto" w:fill="auto"/>
            <w:vAlign w:val="center"/>
          </w:tcPr>
          <w:p>
            <w:pPr>
              <w:widowControl w:val="0"/>
              <w:spacing w:after="240" w:line="320" w:lineRule="exact"/>
              <w:ind w:firstLine="0" w:firstLineChars="0"/>
              <w:jc w:val="both"/>
              <w:rPr>
                <w:rFonts w:ascii="Times New Roman" w:hAnsi="Times New Roman" w:eastAsia="楷体_GB2312" w:cs="Times New Roman"/>
                <w:kern w:val="2"/>
                <w:sz w:val="21"/>
                <w:szCs w:val="22"/>
                <w:lang w:val="en-US" w:eastAsia="zh-CN" w:bidi="ar-SA"/>
              </w:rPr>
            </w:pPr>
          </w:p>
        </w:tc>
        <w:tc>
          <w:tcPr>
            <w:tcW w:w="4873" w:type="dxa"/>
            <w:tcBorders>
              <w:top w:val="nil"/>
              <w:left w:val="nil"/>
              <w:bottom w:val="nil"/>
              <w:right w:val="nil"/>
            </w:tcBorders>
            <w:shd w:val="clear" w:color="auto" w:fill="auto"/>
            <w:vAlign w:val="center"/>
          </w:tcPr>
          <w:p>
            <w:pPr>
              <w:widowControl w:val="0"/>
              <w:rPr>
                <w:rFonts w:ascii="Arial" w:hAnsi="Arial" w:eastAsia="黑体" w:cs="Arial"/>
                <w:b/>
                <w:color w:val="B60005"/>
                <w:kern w:val="2"/>
                <w:sz w:val="18"/>
                <w:szCs w:val="18"/>
                <w:lang w:val="en-US" w:eastAsia="zh-CN" w:bidi="ar-SA"/>
              </w:rPr>
            </w:pPr>
          </w:p>
        </w:tc>
      </w:tr>
      <w:tr>
        <w:tblPrEx>
          <w:tblLayout w:type="fixed"/>
          <w:tblCellMar>
            <w:top w:w="0" w:type="dxa"/>
            <w:left w:w="0" w:type="dxa"/>
            <w:bottom w:w="0" w:type="dxa"/>
            <w:right w:w="0" w:type="dxa"/>
          </w:tblCellMar>
        </w:tblPrEx>
        <w:trPr>
          <w:trHeight w:val="296" w:hRule="exact"/>
          <w:jc w:val="center"/>
        </w:trPr>
        <w:tc>
          <w:tcPr>
            <w:tcW w:w="4847" w:type="dxa"/>
            <w:tcBorders>
              <w:top w:val="nil"/>
              <w:bottom w:val="single" w:color="9CC2E5" w:sz="12" w:space="0"/>
            </w:tcBorders>
            <w:shd w:val="clear" w:color="auto" w:fill="auto"/>
            <w:vAlign w:val="center"/>
          </w:tcPr>
          <w:p>
            <w:pPr>
              <w:widowControl w:val="0"/>
              <w:jc w:val="both"/>
              <w:rPr>
                <w:rFonts w:ascii="Arial" w:hAnsi="Arial" w:eastAsia="黑体" w:cs="Arial"/>
                <w:b/>
                <w:color w:val="B60005"/>
                <w:kern w:val="2"/>
                <w:sz w:val="18"/>
                <w:szCs w:val="18"/>
                <w:lang w:val="en-US" w:eastAsia="zh-CN" w:bidi="ar-SA"/>
              </w:rPr>
            </w:pPr>
            <w:r>
              <w:rPr>
                <w:rFonts w:hint="eastAsia" w:ascii="Arial" w:hAnsi="Arial" w:eastAsia="黑体" w:cs="Arial"/>
                <w:b/>
                <w:color w:val="B60005"/>
                <w:kern w:val="2"/>
                <w:sz w:val="18"/>
                <w:szCs w:val="18"/>
                <w:lang w:val="en-US" w:eastAsia="zh-CN" w:bidi="ar-SA"/>
              </w:rPr>
              <w:t>图 3：苯乙烯进口量</w:t>
            </w:r>
            <w:r>
              <w:rPr>
                <w:rFonts w:ascii="Arial" w:hAnsi="Arial" w:eastAsia="黑体" w:cs="Arial"/>
                <w:b/>
                <w:color w:val="B60005"/>
                <w:kern w:val="2"/>
                <w:sz w:val="18"/>
                <w:szCs w:val="18"/>
                <w:lang w:val="en-US" w:eastAsia="zh-CN" w:bidi="ar-SA"/>
              </w:rPr>
              <w:t xml:space="preserve"> </w:t>
            </w:r>
            <w:r>
              <w:rPr>
                <w:rFonts w:hint="eastAsia" w:ascii="Arial" w:hAnsi="Arial" w:eastAsia="黑体" w:cs="Arial"/>
                <w:b/>
                <w:color w:val="B60005"/>
                <w:kern w:val="2"/>
                <w:sz w:val="18"/>
                <w:szCs w:val="18"/>
                <w:lang w:val="en-US" w:eastAsia="zh-CN" w:bidi="ar-SA"/>
              </w:rPr>
              <w:t xml:space="preserve">                          单位：吨</w:t>
            </w:r>
          </w:p>
        </w:tc>
        <w:tc>
          <w:tcPr>
            <w:tcW w:w="240" w:type="dxa"/>
            <w:shd w:val="clear" w:color="auto" w:fill="auto"/>
            <w:vAlign w:val="center"/>
          </w:tcPr>
          <w:p>
            <w:pPr>
              <w:widowControl w:val="0"/>
              <w:spacing w:after="240" w:line="320" w:lineRule="exact"/>
              <w:ind w:firstLine="0" w:firstLineChars="0"/>
              <w:jc w:val="both"/>
              <w:rPr>
                <w:rFonts w:ascii="Times New Roman" w:hAnsi="Times New Roman" w:eastAsia="楷体_GB2312" w:cs="Times New Roman"/>
                <w:kern w:val="2"/>
                <w:sz w:val="21"/>
                <w:szCs w:val="22"/>
                <w:lang w:val="en-US" w:eastAsia="zh-CN" w:bidi="ar-SA"/>
              </w:rPr>
            </w:pPr>
          </w:p>
        </w:tc>
        <w:tc>
          <w:tcPr>
            <w:tcW w:w="4873" w:type="dxa"/>
            <w:tcBorders>
              <w:top w:val="nil"/>
              <w:bottom w:val="single" w:color="9CC2E5" w:sz="12" w:space="0"/>
            </w:tcBorders>
            <w:shd w:val="clear" w:color="auto" w:fill="auto"/>
            <w:vAlign w:val="center"/>
          </w:tcPr>
          <w:p>
            <w:pPr>
              <w:widowControl w:val="0"/>
              <w:rPr>
                <w:rFonts w:hint="default" w:ascii="Arial" w:hAnsi="Arial" w:eastAsia="黑体" w:cs="Arial"/>
                <w:b/>
                <w:color w:val="B60005"/>
                <w:kern w:val="2"/>
                <w:sz w:val="18"/>
                <w:szCs w:val="18"/>
                <w:lang w:val="en-US" w:eastAsia="zh-CN" w:bidi="ar-SA"/>
              </w:rPr>
            </w:pPr>
            <w:r>
              <w:rPr>
                <w:rFonts w:hint="eastAsia" w:ascii="Arial" w:hAnsi="Arial" w:eastAsia="黑体" w:cs="Arial"/>
                <w:b/>
                <w:color w:val="B60005"/>
                <w:kern w:val="2"/>
                <w:sz w:val="18"/>
                <w:szCs w:val="18"/>
                <w:lang w:val="en-US" w:eastAsia="zh-CN" w:bidi="ar-SA"/>
              </w:rPr>
              <w:t>图 4：苯乙烯开工率                           单位：%</w:t>
            </w:r>
          </w:p>
        </w:tc>
      </w:tr>
      <w:tr>
        <w:tblPrEx>
          <w:tblLayout w:type="fixed"/>
          <w:tblCellMar>
            <w:top w:w="0" w:type="dxa"/>
            <w:left w:w="0" w:type="dxa"/>
            <w:bottom w:w="0" w:type="dxa"/>
            <w:right w:w="0" w:type="dxa"/>
          </w:tblCellMar>
        </w:tblPrEx>
        <w:trPr>
          <w:trHeight w:val="2538" w:hRule="exact"/>
          <w:jc w:val="center"/>
        </w:trPr>
        <w:tc>
          <w:tcPr>
            <w:tcW w:w="4847" w:type="dxa"/>
            <w:tcBorders>
              <w:top w:val="single" w:color="9CC2E5" w:sz="12" w:space="0"/>
              <w:bottom w:val="single" w:color="9CC2E5" w:sz="12" w:space="0"/>
            </w:tcBorders>
            <w:shd w:val="clear" w:color="auto" w:fill="auto"/>
            <w:vAlign w:val="center"/>
          </w:tcPr>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r>
              <w:drawing>
                <wp:inline distT="0" distB="0" distL="114300" distR="114300">
                  <wp:extent cx="3074035" cy="1570355"/>
                  <wp:effectExtent l="0" t="0" r="12065" b="1079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6"/>
                          <a:stretch>
                            <a:fillRect/>
                          </a:stretch>
                        </pic:blipFill>
                        <pic:spPr>
                          <a:xfrm>
                            <a:off x="0" y="0"/>
                            <a:ext cx="3074035" cy="1570355"/>
                          </a:xfrm>
                          <a:prstGeom prst="rect">
                            <a:avLst/>
                          </a:prstGeom>
                          <a:noFill/>
                          <a:ln>
                            <a:noFill/>
                          </a:ln>
                        </pic:spPr>
                      </pic:pic>
                    </a:graphicData>
                  </a:graphic>
                </wp:inline>
              </w:drawing>
            </w: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widowControl w:val="0"/>
              <w:spacing w:after="0" w:line="240" w:lineRule="auto"/>
              <w:ind w:firstLine="0" w:firstLineChars="0"/>
              <w:jc w:val="center"/>
              <w:rPr>
                <w:rFonts w:ascii="Times New Roman" w:hAnsi="Times New Roman" w:eastAsia="楷体_GB2312" w:cs="Times New Roman"/>
                <w:kern w:val="2"/>
                <w:sz w:val="21"/>
                <w:szCs w:val="22"/>
                <w:lang w:val="en-US" w:eastAsia="zh-CN" w:bidi="ar-SA"/>
              </w:rPr>
            </w:pPr>
          </w:p>
        </w:tc>
        <w:tc>
          <w:tcPr>
            <w:tcW w:w="240" w:type="dxa"/>
            <w:shd w:val="clear" w:color="auto" w:fill="auto"/>
            <w:vAlign w:val="center"/>
          </w:tcPr>
          <w:p>
            <w:pPr>
              <w:widowControl w:val="0"/>
              <w:spacing w:after="0" w:line="240" w:lineRule="auto"/>
              <w:ind w:firstLine="0" w:firstLineChars="0"/>
              <w:jc w:val="center"/>
              <w:rPr>
                <w:rFonts w:ascii="Times New Roman" w:hAnsi="Times New Roman" w:eastAsia="楷体_GB2312" w:cs="Times New Roman"/>
                <w:kern w:val="2"/>
                <w:sz w:val="21"/>
                <w:szCs w:val="22"/>
                <w:lang w:val="en-US" w:eastAsia="zh-CN" w:bidi="ar-SA"/>
              </w:rPr>
            </w:pPr>
          </w:p>
        </w:tc>
        <w:tc>
          <w:tcPr>
            <w:tcW w:w="4873" w:type="dxa"/>
            <w:tcBorders>
              <w:top w:val="single" w:color="9CC2E5" w:sz="12" w:space="0"/>
              <w:bottom w:val="single" w:color="9CC2E5" w:sz="12" w:space="0"/>
            </w:tcBorders>
            <w:shd w:val="clear" w:color="auto" w:fill="auto"/>
            <w:vAlign w:val="center"/>
          </w:tcPr>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r>
              <w:drawing>
                <wp:inline distT="0" distB="0" distL="114300" distR="114300">
                  <wp:extent cx="3086100" cy="1562735"/>
                  <wp:effectExtent l="0" t="0" r="0" b="1841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7"/>
                          <a:stretch>
                            <a:fillRect/>
                          </a:stretch>
                        </pic:blipFill>
                        <pic:spPr>
                          <a:xfrm>
                            <a:off x="0" y="0"/>
                            <a:ext cx="3086100" cy="1562735"/>
                          </a:xfrm>
                          <a:prstGeom prst="rect">
                            <a:avLst/>
                          </a:prstGeom>
                          <a:noFill/>
                          <a:ln>
                            <a:noFill/>
                          </a:ln>
                        </pic:spPr>
                      </pic:pic>
                    </a:graphicData>
                  </a:graphic>
                </wp:inline>
              </w:drawing>
            </w: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widowControl w:val="0"/>
              <w:spacing w:after="0" w:line="240" w:lineRule="auto"/>
              <w:ind w:firstLine="0" w:firstLineChars="0"/>
              <w:jc w:val="center"/>
              <w:rPr>
                <w:rFonts w:ascii="Times New Roman" w:hAnsi="Times New Roman" w:eastAsia="楷体_GB2312" w:cs="Times New Roman"/>
                <w:kern w:val="2"/>
                <w:sz w:val="21"/>
                <w:szCs w:val="22"/>
                <w:lang w:val="en-US" w:eastAsia="zh-CN" w:bidi="ar-SA"/>
              </w:rPr>
            </w:pPr>
          </w:p>
        </w:tc>
      </w:tr>
      <w:tr>
        <w:tblPrEx>
          <w:tblLayout w:type="fixed"/>
          <w:tblCellMar>
            <w:top w:w="0" w:type="dxa"/>
            <w:left w:w="0" w:type="dxa"/>
            <w:bottom w:w="0" w:type="dxa"/>
            <w:right w:w="0" w:type="dxa"/>
          </w:tblCellMar>
        </w:tblPrEx>
        <w:trPr>
          <w:trHeight w:val="296" w:hRule="exact"/>
          <w:jc w:val="center"/>
        </w:trPr>
        <w:tc>
          <w:tcPr>
            <w:tcW w:w="4847" w:type="dxa"/>
            <w:tcBorders>
              <w:top w:val="single" w:color="9CC2E5" w:sz="12" w:space="0"/>
              <w:bottom w:val="nil"/>
            </w:tcBorders>
            <w:shd w:val="clear" w:color="auto" w:fill="auto"/>
            <w:vAlign w:val="center"/>
          </w:tcPr>
          <w:p>
            <w:pPr>
              <w:widowControl w:val="0"/>
              <w:spacing w:after="120"/>
              <w:jc w:val="both"/>
              <w:rPr>
                <w:rFonts w:ascii="Times New Roman" w:hAnsi="Times New Roman" w:eastAsia="楷体_GB2312" w:cs="Times New Roman"/>
                <w:kern w:val="2"/>
                <w:sz w:val="18"/>
                <w:szCs w:val="18"/>
                <w:lang w:val="en-US" w:eastAsia="zh-CN" w:bidi="ar-SA"/>
              </w:rPr>
            </w:pPr>
            <w:r>
              <w:rPr>
                <w:rFonts w:hint="eastAsia" w:ascii="Times New Roman" w:hAnsi="Times New Roman" w:eastAsia="楷体_GB2312" w:cs="Times New Roman"/>
                <w:kern w:val="2"/>
                <w:sz w:val="18"/>
                <w:szCs w:val="18"/>
                <w:lang w:val="en-US" w:eastAsia="zh-CN" w:bidi="ar-SA"/>
              </w:rPr>
              <w:t>资料来源：</w:t>
            </w:r>
            <w:r>
              <w:rPr>
                <w:rFonts w:hint="eastAsia" w:eastAsia="楷体_GB2312" w:cs="Times New Roman"/>
                <w:kern w:val="2"/>
                <w:sz w:val="18"/>
                <w:szCs w:val="18"/>
                <w:lang w:val="en-US" w:eastAsia="zh-CN" w:bidi="ar-SA"/>
              </w:rPr>
              <w:t>WIND</w:t>
            </w:r>
            <w:r>
              <w:rPr>
                <w:rFonts w:hint="eastAsia" w:ascii="Times New Roman" w:hAnsi="Times New Roman" w:eastAsia="楷体_GB2312" w:cs="Times New Roman"/>
                <w:kern w:val="2"/>
                <w:sz w:val="18"/>
                <w:szCs w:val="18"/>
                <w:lang w:val="en-US" w:eastAsia="zh-CN" w:bidi="ar-SA"/>
              </w:rPr>
              <w:t>，长安期货</w:t>
            </w:r>
          </w:p>
        </w:tc>
        <w:tc>
          <w:tcPr>
            <w:tcW w:w="240" w:type="dxa"/>
            <w:shd w:val="clear" w:color="auto" w:fill="auto"/>
            <w:vAlign w:val="center"/>
          </w:tcPr>
          <w:p>
            <w:pPr>
              <w:widowControl w:val="0"/>
              <w:spacing w:after="240" w:line="320" w:lineRule="exact"/>
              <w:ind w:firstLine="0" w:firstLineChars="0"/>
              <w:jc w:val="both"/>
              <w:rPr>
                <w:rFonts w:ascii="Times New Roman" w:hAnsi="Times New Roman" w:eastAsia="楷体_GB2312" w:cs="Times New Roman"/>
                <w:kern w:val="2"/>
                <w:sz w:val="21"/>
                <w:szCs w:val="22"/>
                <w:lang w:val="en-US" w:eastAsia="zh-CN" w:bidi="ar-SA"/>
              </w:rPr>
            </w:pPr>
          </w:p>
        </w:tc>
        <w:tc>
          <w:tcPr>
            <w:tcW w:w="4873" w:type="dxa"/>
            <w:tcBorders>
              <w:top w:val="single" w:color="9CC2E5" w:sz="12" w:space="0"/>
              <w:bottom w:val="nil"/>
            </w:tcBorders>
            <w:shd w:val="clear" w:color="auto" w:fill="auto"/>
            <w:vAlign w:val="center"/>
          </w:tcPr>
          <w:p>
            <w:pPr>
              <w:widowControl w:val="0"/>
              <w:spacing w:after="120"/>
              <w:jc w:val="both"/>
              <w:rPr>
                <w:rFonts w:ascii="Times New Roman" w:hAnsi="Times New Roman" w:eastAsia="楷体_GB2312" w:cs="Times New Roman"/>
                <w:kern w:val="2"/>
                <w:sz w:val="18"/>
                <w:szCs w:val="18"/>
                <w:lang w:val="en-US" w:eastAsia="zh-CN" w:bidi="ar-SA"/>
              </w:rPr>
            </w:pPr>
            <w:r>
              <w:rPr>
                <w:rFonts w:hint="eastAsia" w:ascii="Times New Roman" w:hAnsi="Times New Roman" w:eastAsia="楷体_GB2312" w:cs="Times New Roman"/>
                <w:kern w:val="2"/>
                <w:sz w:val="18"/>
                <w:szCs w:val="18"/>
                <w:lang w:val="en-US" w:eastAsia="zh-CN" w:bidi="ar-SA"/>
              </w:rPr>
              <w:t>资料来源：</w:t>
            </w:r>
            <w:r>
              <w:rPr>
                <w:rFonts w:hint="eastAsia" w:eastAsia="楷体_GB2312" w:cs="Times New Roman"/>
                <w:kern w:val="2"/>
                <w:sz w:val="18"/>
                <w:szCs w:val="18"/>
                <w:lang w:val="en-US" w:eastAsia="zh-CN" w:bidi="ar-SA"/>
              </w:rPr>
              <w:t>WIND</w:t>
            </w:r>
            <w:r>
              <w:rPr>
                <w:rFonts w:hint="eastAsia" w:ascii="Times New Roman" w:hAnsi="Times New Roman" w:eastAsia="楷体_GB2312" w:cs="Times New Roman"/>
                <w:kern w:val="2"/>
                <w:sz w:val="18"/>
                <w:szCs w:val="18"/>
                <w:lang w:val="en-US" w:eastAsia="zh-CN" w:bidi="ar-SA"/>
              </w:rPr>
              <w:t>，长安期货</w:t>
            </w:r>
          </w:p>
        </w:tc>
      </w:tr>
      <w:tr>
        <w:tblPrEx>
          <w:tblLayout w:type="fixed"/>
          <w:tblCellMar>
            <w:top w:w="0" w:type="dxa"/>
            <w:left w:w="0" w:type="dxa"/>
            <w:bottom w:w="0" w:type="dxa"/>
            <w:right w:w="0" w:type="dxa"/>
          </w:tblCellMar>
        </w:tblPrEx>
        <w:trPr>
          <w:trHeight w:val="129" w:hRule="exact"/>
          <w:jc w:val="center"/>
        </w:trPr>
        <w:tc>
          <w:tcPr>
            <w:tcW w:w="4847" w:type="dxa"/>
            <w:tcBorders>
              <w:top w:val="nil"/>
              <w:left w:val="nil"/>
              <w:bottom w:val="nil"/>
              <w:right w:val="nil"/>
            </w:tcBorders>
            <w:shd w:val="clear" w:color="auto" w:fill="auto"/>
            <w:vAlign w:val="center"/>
          </w:tcPr>
          <w:p>
            <w:pPr>
              <w:widowControl w:val="0"/>
              <w:spacing w:after="120"/>
              <w:jc w:val="center"/>
              <w:rPr>
                <w:rFonts w:ascii="Times New Roman" w:hAnsi="Times New Roman" w:eastAsia="楷体_GB2312" w:cs="Times New Roman"/>
                <w:kern w:val="2"/>
                <w:sz w:val="18"/>
                <w:szCs w:val="18"/>
                <w:lang w:val="en-US" w:eastAsia="zh-CN" w:bidi="ar-SA"/>
              </w:rPr>
            </w:pPr>
          </w:p>
        </w:tc>
        <w:tc>
          <w:tcPr>
            <w:tcW w:w="240" w:type="dxa"/>
            <w:tcBorders>
              <w:left w:val="nil"/>
              <w:right w:val="nil"/>
            </w:tcBorders>
            <w:shd w:val="clear" w:color="auto" w:fill="auto"/>
            <w:vAlign w:val="center"/>
          </w:tcPr>
          <w:p>
            <w:pPr>
              <w:widowControl w:val="0"/>
              <w:spacing w:after="240" w:line="320" w:lineRule="exact"/>
              <w:ind w:firstLine="0" w:firstLineChars="0"/>
              <w:jc w:val="both"/>
              <w:rPr>
                <w:rFonts w:ascii="Times New Roman" w:hAnsi="Times New Roman" w:eastAsia="楷体_GB2312" w:cs="Times New Roman"/>
                <w:kern w:val="2"/>
                <w:sz w:val="21"/>
                <w:szCs w:val="22"/>
                <w:lang w:val="en-US" w:eastAsia="zh-CN" w:bidi="ar-SA"/>
              </w:rPr>
            </w:pPr>
          </w:p>
        </w:tc>
        <w:tc>
          <w:tcPr>
            <w:tcW w:w="4873" w:type="dxa"/>
            <w:tcBorders>
              <w:top w:val="nil"/>
              <w:left w:val="nil"/>
              <w:bottom w:val="nil"/>
              <w:right w:val="nil"/>
            </w:tcBorders>
            <w:shd w:val="clear" w:color="auto" w:fill="auto"/>
            <w:vAlign w:val="center"/>
          </w:tcPr>
          <w:p>
            <w:pPr>
              <w:widowControl w:val="0"/>
              <w:spacing w:after="120"/>
              <w:jc w:val="both"/>
              <w:rPr>
                <w:rFonts w:ascii="Times New Roman" w:hAnsi="Times New Roman" w:eastAsia="楷体_GB2312" w:cs="Times New Roman"/>
                <w:kern w:val="2"/>
                <w:sz w:val="18"/>
                <w:szCs w:val="18"/>
                <w:lang w:val="en-US" w:eastAsia="zh-CN" w:bidi="ar-SA"/>
              </w:rPr>
            </w:pPr>
          </w:p>
        </w:tc>
      </w:tr>
    </w:tbl>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据隆众化工，华东苯乙烯港口库存自6月底达到高位后，快速回落，截止9月14日降至30.74万吨，环比下降2.4万吨，相较于前期的高点38.26万吨减少了7.52万吨。近期华南苯乙烯港口库存基本平稳，9月14日为4.06万吨。近期苯乙烯现货价格持稳。9月10日，全国一级品苯乙烯价格为5370.1元/吨，贴水于期货盘面价格。</w:t>
      </w:r>
    </w:p>
    <w:tbl>
      <w:tblPr>
        <w:tblStyle w:val="4"/>
        <w:tblW w:w="9960" w:type="dxa"/>
        <w:jc w:val="center"/>
        <w:tblInd w:w="0" w:type="dxa"/>
        <w:tblLayout w:type="fixed"/>
        <w:tblCellMar>
          <w:top w:w="0" w:type="dxa"/>
          <w:left w:w="0" w:type="dxa"/>
          <w:bottom w:w="0" w:type="dxa"/>
          <w:right w:w="0" w:type="dxa"/>
        </w:tblCellMar>
      </w:tblPr>
      <w:tblGrid>
        <w:gridCol w:w="4847"/>
        <w:gridCol w:w="240"/>
        <w:gridCol w:w="4873"/>
      </w:tblGrid>
      <w:tr>
        <w:tblPrEx>
          <w:tblLayout w:type="fixed"/>
          <w:tblCellMar>
            <w:top w:w="0" w:type="dxa"/>
            <w:left w:w="0" w:type="dxa"/>
            <w:bottom w:w="0" w:type="dxa"/>
            <w:right w:w="0" w:type="dxa"/>
          </w:tblCellMar>
        </w:tblPrEx>
        <w:trPr>
          <w:trHeight w:val="172" w:hRule="exact"/>
          <w:jc w:val="center"/>
        </w:trPr>
        <w:tc>
          <w:tcPr>
            <w:tcW w:w="4847" w:type="dxa"/>
            <w:tcBorders>
              <w:top w:val="nil"/>
              <w:left w:val="nil"/>
              <w:bottom w:val="nil"/>
              <w:right w:val="nil"/>
            </w:tcBorders>
            <w:shd w:val="clear" w:color="auto" w:fill="auto"/>
            <w:vAlign w:val="center"/>
          </w:tcPr>
          <w:p>
            <w:pPr>
              <w:widowControl w:val="0"/>
              <w:jc w:val="both"/>
              <w:rPr>
                <w:rFonts w:ascii="Arial" w:hAnsi="Arial" w:eastAsia="黑体" w:cs="Arial"/>
                <w:b/>
                <w:color w:val="B60005"/>
                <w:kern w:val="2"/>
                <w:sz w:val="18"/>
                <w:szCs w:val="18"/>
                <w:lang w:val="en-US" w:eastAsia="zh-CN" w:bidi="ar-SA"/>
              </w:rPr>
            </w:pPr>
          </w:p>
        </w:tc>
        <w:tc>
          <w:tcPr>
            <w:tcW w:w="240" w:type="dxa"/>
            <w:tcBorders>
              <w:left w:val="nil"/>
              <w:right w:val="nil"/>
            </w:tcBorders>
            <w:shd w:val="clear" w:color="auto" w:fill="auto"/>
            <w:vAlign w:val="center"/>
          </w:tcPr>
          <w:p>
            <w:pPr>
              <w:widowControl w:val="0"/>
              <w:spacing w:after="240" w:line="320" w:lineRule="exact"/>
              <w:ind w:firstLine="0" w:firstLineChars="0"/>
              <w:jc w:val="both"/>
              <w:rPr>
                <w:rFonts w:ascii="Times New Roman" w:hAnsi="Times New Roman" w:eastAsia="楷体_GB2312" w:cs="Times New Roman"/>
                <w:kern w:val="2"/>
                <w:sz w:val="21"/>
                <w:szCs w:val="22"/>
                <w:lang w:val="en-US" w:eastAsia="zh-CN" w:bidi="ar-SA"/>
              </w:rPr>
            </w:pPr>
          </w:p>
        </w:tc>
        <w:tc>
          <w:tcPr>
            <w:tcW w:w="4873" w:type="dxa"/>
            <w:tcBorders>
              <w:top w:val="nil"/>
              <w:left w:val="nil"/>
              <w:bottom w:val="nil"/>
              <w:right w:val="nil"/>
            </w:tcBorders>
            <w:shd w:val="clear" w:color="auto" w:fill="auto"/>
            <w:vAlign w:val="center"/>
          </w:tcPr>
          <w:p>
            <w:pPr>
              <w:widowControl w:val="0"/>
              <w:rPr>
                <w:rFonts w:ascii="Arial" w:hAnsi="Arial" w:eastAsia="黑体" w:cs="Arial"/>
                <w:b/>
                <w:color w:val="B60005"/>
                <w:kern w:val="2"/>
                <w:sz w:val="18"/>
                <w:szCs w:val="18"/>
                <w:lang w:val="en-US" w:eastAsia="zh-CN" w:bidi="ar-SA"/>
              </w:rPr>
            </w:pPr>
          </w:p>
        </w:tc>
      </w:tr>
      <w:tr>
        <w:tblPrEx>
          <w:tblLayout w:type="fixed"/>
          <w:tblCellMar>
            <w:top w:w="0" w:type="dxa"/>
            <w:left w:w="0" w:type="dxa"/>
            <w:bottom w:w="0" w:type="dxa"/>
            <w:right w:w="0" w:type="dxa"/>
          </w:tblCellMar>
        </w:tblPrEx>
        <w:trPr>
          <w:trHeight w:val="296" w:hRule="exact"/>
          <w:jc w:val="center"/>
        </w:trPr>
        <w:tc>
          <w:tcPr>
            <w:tcW w:w="4847" w:type="dxa"/>
            <w:tcBorders>
              <w:top w:val="nil"/>
              <w:bottom w:val="single" w:color="9CC2E5" w:sz="12" w:space="0"/>
            </w:tcBorders>
            <w:shd w:val="clear" w:color="auto" w:fill="auto"/>
            <w:vAlign w:val="center"/>
          </w:tcPr>
          <w:p>
            <w:pPr>
              <w:widowControl w:val="0"/>
              <w:jc w:val="both"/>
              <w:rPr>
                <w:rFonts w:ascii="Arial" w:hAnsi="Arial" w:eastAsia="黑体" w:cs="Arial"/>
                <w:b/>
                <w:color w:val="B60005"/>
                <w:kern w:val="2"/>
                <w:sz w:val="18"/>
                <w:szCs w:val="18"/>
                <w:lang w:val="en-US" w:eastAsia="zh-CN" w:bidi="ar-SA"/>
              </w:rPr>
            </w:pPr>
            <w:r>
              <w:rPr>
                <w:rFonts w:hint="eastAsia" w:ascii="Arial" w:hAnsi="Arial" w:eastAsia="黑体" w:cs="Arial"/>
                <w:b/>
                <w:color w:val="B60005"/>
                <w:kern w:val="2"/>
                <w:sz w:val="18"/>
                <w:szCs w:val="18"/>
                <w:lang w:val="en-US" w:eastAsia="zh-CN" w:bidi="ar-SA"/>
              </w:rPr>
              <w:t>图 5：苯乙烯港口库存</w:t>
            </w:r>
            <w:r>
              <w:rPr>
                <w:rFonts w:ascii="Arial" w:hAnsi="Arial" w:eastAsia="黑体" w:cs="Arial"/>
                <w:b/>
                <w:color w:val="B60005"/>
                <w:kern w:val="2"/>
                <w:sz w:val="18"/>
                <w:szCs w:val="18"/>
                <w:lang w:val="en-US" w:eastAsia="zh-CN" w:bidi="ar-SA"/>
              </w:rPr>
              <w:t xml:space="preserve"> </w:t>
            </w:r>
            <w:r>
              <w:rPr>
                <w:rFonts w:hint="eastAsia" w:ascii="Arial" w:hAnsi="Arial" w:eastAsia="黑体" w:cs="Arial"/>
                <w:b/>
                <w:color w:val="B60005"/>
                <w:kern w:val="2"/>
                <w:sz w:val="18"/>
                <w:szCs w:val="18"/>
                <w:lang w:val="en-US" w:eastAsia="zh-CN" w:bidi="ar-SA"/>
              </w:rPr>
              <w:t xml:space="preserve">                     单位：万吨</w:t>
            </w:r>
          </w:p>
        </w:tc>
        <w:tc>
          <w:tcPr>
            <w:tcW w:w="240" w:type="dxa"/>
            <w:shd w:val="clear" w:color="auto" w:fill="auto"/>
            <w:vAlign w:val="center"/>
          </w:tcPr>
          <w:p>
            <w:pPr>
              <w:widowControl w:val="0"/>
              <w:spacing w:after="240" w:line="320" w:lineRule="exact"/>
              <w:ind w:firstLine="0" w:firstLineChars="0"/>
              <w:jc w:val="both"/>
              <w:rPr>
                <w:rFonts w:ascii="Times New Roman" w:hAnsi="Times New Roman" w:eastAsia="楷体_GB2312" w:cs="Times New Roman"/>
                <w:kern w:val="2"/>
                <w:sz w:val="21"/>
                <w:szCs w:val="22"/>
                <w:lang w:val="en-US" w:eastAsia="zh-CN" w:bidi="ar-SA"/>
              </w:rPr>
            </w:pPr>
          </w:p>
        </w:tc>
        <w:tc>
          <w:tcPr>
            <w:tcW w:w="4873" w:type="dxa"/>
            <w:tcBorders>
              <w:top w:val="nil"/>
              <w:bottom w:val="single" w:color="9CC2E5" w:sz="12" w:space="0"/>
            </w:tcBorders>
            <w:shd w:val="clear" w:color="auto" w:fill="auto"/>
            <w:vAlign w:val="center"/>
          </w:tcPr>
          <w:p>
            <w:pPr>
              <w:widowControl w:val="0"/>
              <w:rPr>
                <w:rFonts w:hint="default" w:ascii="Arial" w:hAnsi="Arial" w:eastAsia="黑体" w:cs="Arial"/>
                <w:b/>
                <w:color w:val="B60005"/>
                <w:kern w:val="2"/>
                <w:sz w:val="18"/>
                <w:szCs w:val="18"/>
                <w:lang w:val="en-US" w:eastAsia="zh-CN" w:bidi="ar-SA"/>
              </w:rPr>
            </w:pPr>
            <w:r>
              <w:rPr>
                <w:rFonts w:hint="eastAsia" w:ascii="Arial" w:hAnsi="Arial" w:eastAsia="黑体" w:cs="Arial"/>
                <w:b/>
                <w:color w:val="B60005"/>
                <w:kern w:val="2"/>
                <w:sz w:val="18"/>
                <w:szCs w:val="18"/>
                <w:lang w:val="en-US" w:eastAsia="zh-CN" w:bidi="ar-SA"/>
              </w:rPr>
              <w:t>图 6：苯乙烯市场价                        单位：元/吨</w:t>
            </w:r>
          </w:p>
        </w:tc>
      </w:tr>
      <w:tr>
        <w:tblPrEx>
          <w:tblLayout w:type="fixed"/>
          <w:tblCellMar>
            <w:top w:w="0" w:type="dxa"/>
            <w:left w:w="0" w:type="dxa"/>
            <w:bottom w:w="0" w:type="dxa"/>
            <w:right w:w="0" w:type="dxa"/>
          </w:tblCellMar>
        </w:tblPrEx>
        <w:trPr>
          <w:trHeight w:val="2538" w:hRule="exact"/>
          <w:jc w:val="center"/>
        </w:trPr>
        <w:tc>
          <w:tcPr>
            <w:tcW w:w="4847" w:type="dxa"/>
            <w:tcBorders>
              <w:top w:val="single" w:color="9CC2E5" w:sz="12" w:space="0"/>
              <w:bottom w:val="single" w:color="9CC2E5" w:sz="12" w:space="0"/>
            </w:tcBorders>
            <w:shd w:val="clear" w:color="auto" w:fill="auto"/>
            <w:vAlign w:val="center"/>
          </w:tcPr>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r>
              <w:drawing>
                <wp:inline distT="0" distB="0" distL="114300" distR="114300">
                  <wp:extent cx="3069590" cy="1524000"/>
                  <wp:effectExtent l="0" t="0" r="165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069590" cy="1524000"/>
                          </a:xfrm>
                          <a:prstGeom prst="rect">
                            <a:avLst/>
                          </a:prstGeom>
                          <a:noFill/>
                          <a:ln>
                            <a:noFill/>
                          </a:ln>
                        </pic:spPr>
                      </pic:pic>
                    </a:graphicData>
                  </a:graphic>
                </wp:inline>
              </w:drawing>
            </w: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widowControl w:val="0"/>
              <w:spacing w:after="0" w:line="240" w:lineRule="auto"/>
              <w:ind w:firstLine="0" w:firstLineChars="0"/>
              <w:jc w:val="center"/>
              <w:rPr>
                <w:rFonts w:ascii="Times New Roman" w:hAnsi="Times New Roman" w:eastAsia="楷体_GB2312" w:cs="Times New Roman"/>
                <w:kern w:val="2"/>
                <w:sz w:val="21"/>
                <w:szCs w:val="22"/>
                <w:lang w:val="en-US" w:eastAsia="zh-CN" w:bidi="ar-SA"/>
              </w:rPr>
            </w:pPr>
          </w:p>
        </w:tc>
        <w:tc>
          <w:tcPr>
            <w:tcW w:w="240" w:type="dxa"/>
            <w:shd w:val="clear" w:color="auto" w:fill="auto"/>
            <w:vAlign w:val="center"/>
          </w:tcPr>
          <w:p>
            <w:pPr>
              <w:widowControl w:val="0"/>
              <w:spacing w:after="0" w:line="240" w:lineRule="auto"/>
              <w:ind w:firstLine="0" w:firstLineChars="0"/>
              <w:jc w:val="center"/>
              <w:rPr>
                <w:rFonts w:ascii="Times New Roman" w:hAnsi="Times New Roman" w:eastAsia="楷体_GB2312" w:cs="Times New Roman"/>
                <w:kern w:val="2"/>
                <w:sz w:val="21"/>
                <w:szCs w:val="22"/>
                <w:lang w:val="en-US" w:eastAsia="zh-CN" w:bidi="ar-SA"/>
              </w:rPr>
            </w:pPr>
          </w:p>
        </w:tc>
        <w:tc>
          <w:tcPr>
            <w:tcW w:w="4873" w:type="dxa"/>
            <w:tcBorders>
              <w:top w:val="single" w:color="9CC2E5" w:sz="12" w:space="0"/>
              <w:bottom w:val="single" w:color="9CC2E5" w:sz="12" w:space="0"/>
            </w:tcBorders>
            <w:shd w:val="clear" w:color="auto" w:fill="auto"/>
            <w:vAlign w:val="center"/>
          </w:tcPr>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r>
              <w:drawing>
                <wp:inline distT="0" distB="0" distL="114300" distR="114300">
                  <wp:extent cx="3089910" cy="1529715"/>
                  <wp:effectExtent l="0" t="0" r="15240" b="133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3089910" cy="1529715"/>
                          </a:xfrm>
                          <a:prstGeom prst="rect">
                            <a:avLst/>
                          </a:prstGeom>
                          <a:noFill/>
                          <a:ln>
                            <a:noFill/>
                          </a:ln>
                        </pic:spPr>
                      </pic:pic>
                    </a:graphicData>
                  </a:graphic>
                </wp:inline>
              </w:drawing>
            </w: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keepNext w:val="0"/>
              <w:keepLines w:val="0"/>
              <w:widowControl/>
              <w:suppressLineNumbers w:val="0"/>
              <w:adjustRightInd w:val="0"/>
              <w:spacing w:beforeLines="-2147483648" w:afterLines="-2147483648" w:line="360" w:lineRule="auto"/>
              <w:jc w:val="left"/>
              <w:textAlignment w:val="baseline"/>
              <w:rPr>
                <w:rFonts w:hint="default" w:eastAsia="微软雅黑" w:cs="Times New Roman"/>
                <w:sz w:val="24"/>
                <w:szCs w:val="24"/>
                <w:lang w:val="en-US" w:eastAsia="zh-CN" w:bidi="ar-SA"/>
              </w:rPr>
            </w:pPr>
          </w:p>
          <w:p>
            <w:pPr>
              <w:widowControl w:val="0"/>
              <w:spacing w:after="0" w:line="240" w:lineRule="auto"/>
              <w:ind w:firstLine="0" w:firstLineChars="0"/>
              <w:jc w:val="center"/>
              <w:rPr>
                <w:rFonts w:ascii="Times New Roman" w:hAnsi="Times New Roman" w:eastAsia="楷体_GB2312" w:cs="Times New Roman"/>
                <w:kern w:val="2"/>
                <w:sz w:val="21"/>
                <w:szCs w:val="22"/>
                <w:lang w:val="en-US" w:eastAsia="zh-CN" w:bidi="ar-SA"/>
              </w:rPr>
            </w:pPr>
          </w:p>
        </w:tc>
      </w:tr>
      <w:tr>
        <w:tblPrEx>
          <w:tblLayout w:type="fixed"/>
          <w:tblCellMar>
            <w:top w:w="0" w:type="dxa"/>
            <w:left w:w="0" w:type="dxa"/>
            <w:bottom w:w="0" w:type="dxa"/>
            <w:right w:w="0" w:type="dxa"/>
          </w:tblCellMar>
        </w:tblPrEx>
        <w:trPr>
          <w:trHeight w:val="296" w:hRule="exact"/>
          <w:jc w:val="center"/>
        </w:trPr>
        <w:tc>
          <w:tcPr>
            <w:tcW w:w="4847" w:type="dxa"/>
            <w:tcBorders>
              <w:top w:val="single" w:color="9CC2E5" w:sz="12" w:space="0"/>
              <w:bottom w:val="nil"/>
            </w:tcBorders>
            <w:shd w:val="clear" w:color="auto" w:fill="auto"/>
            <w:vAlign w:val="center"/>
          </w:tcPr>
          <w:p>
            <w:pPr>
              <w:widowControl w:val="0"/>
              <w:spacing w:after="120"/>
              <w:jc w:val="both"/>
              <w:rPr>
                <w:rFonts w:ascii="Times New Roman" w:hAnsi="Times New Roman" w:eastAsia="楷体_GB2312" w:cs="Times New Roman"/>
                <w:kern w:val="2"/>
                <w:sz w:val="18"/>
                <w:szCs w:val="18"/>
                <w:lang w:val="en-US" w:eastAsia="zh-CN" w:bidi="ar-SA"/>
              </w:rPr>
            </w:pPr>
            <w:r>
              <w:rPr>
                <w:rFonts w:hint="eastAsia" w:ascii="Times New Roman" w:hAnsi="Times New Roman" w:eastAsia="楷体_GB2312" w:cs="Times New Roman"/>
                <w:kern w:val="2"/>
                <w:sz w:val="18"/>
                <w:szCs w:val="18"/>
                <w:lang w:val="en-US" w:eastAsia="zh-CN" w:bidi="ar-SA"/>
              </w:rPr>
              <w:t>资料来源：</w:t>
            </w:r>
            <w:r>
              <w:rPr>
                <w:rFonts w:hint="eastAsia" w:eastAsia="楷体_GB2312" w:cs="Times New Roman"/>
                <w:kern w:val="2"/>
                <w:sz w:val="18"/>
                <w:szCs w:val="18"/>
                <w:lang w:val="en-US" w:eastAsia="zh-CN" w:bidi="ar-SA"/>
              </w:rPr>
              <w:t>WIND</w:t>
            </w:r>
            <w:r>
              <w:rPr>
                <w:rFonts w:hint="eastAsia" w:ascii="Times New Roman" w:hAnsi="Times New Roman" w:eastAsia="楷体_GB2312" w:cs="Times New Roman"/>
                <w:kern w:val="2"/>
                <w:sz w:val="18"/>
                <w:szCs w:val="18"/>
                <w:lang w:val="en-US" w:eastAsia="zh-CN" w:bidi="ar-SA"/>
              </w:rPr>
              <w:t>，长安期货</w:t>
            </w:r>
          </w:p>
        </w:tc>
        <w:tc>
          <w:tcPr>
            <w:tcW w:w="240" w:type="dxa"/>
            <w:shd w:val="clear" w:color="auto" w:fill="auto"/>
            <w:vAlign w:val="center"/>
          </w:tcPr>
          <w:p>
            <w:pPr>
              <w:widowControl w:val="0"/>
              <w:spacing w:after="240" w:line="320" w:lineRule="exact"/>
              <w:ind w:firstLine="0" w:firstLineChars="0"/>
              <w:jc w:val="both"/>
              <w:rPr>
                <w:rFonts w:ascii="Times New Roman" w:hAnsi="Times New Roman" w:eastAsia="楷体_GB2312" w:cs="Times New Roman"/>
                <w:kern w:val="2"/>
                <w:sz w:val="21"/>
                <w:szCs w:val="22"/>
                <w:lang w:val="en-US" w:eastAsia="zh-CN" w:bidi="ar-SA"/>
              </w:rPr>
            </w:pPr>
          </w:p>
        </w:tc>
        <w:tc>
          <w:tcPr>
            <w:tcW w:w="4873" w:type="dxa"/>
            <w:tcBorders>
              <w:top w:val="single" w:color="9CC2E5" w:sz="12" w:space="0"/>
              <w:bottom w:val="nil"/>
            </w:tcBorders>
            <w:shd w:val="clear" w:color="auto" w:fill="auto"/>
            <w:vAlign w:val="center"/>
          </w:tcPr>
          <w:p>
            <w:pPr>
              <w:widowControl w:val="0"/>
              <w:spacing w:after="120"/>
              <w:jc w:val="both"/>
              <w:rPr>
                <w:rFonts w:ascii="Times New Roman" w:hAnsi="Times New Roman" w:eastAsia="楷体_GB2312" w:cs="Times New Roman"/>
                <w:kern w:val="2"/>
                <w:sz w:val="18"/>
                <w:szCs w:val="18"/>
                <w:lang w:val="en-US" w:eastAsia="zh-CN" w:bidi="ar-SA"/>
              </w:rPr>
            </w:pPr>
            <w:r>
              <w:rPr>
                <w:rFonts w:hint="eastAsia" w:ascii="Times New Roman" w:hAnsi="Times New Roman" w:eastAsia="楷体_GB2312" w:cs="Times New Roman"/>
                <w:kern w:val="2"/>
                <w:sz w:val="18"/>
                <w:szCs w:val="18"/>
                <w:lang w:val="en-US" w:eastAsia="zh-CN" w:bidi="ar-SA"/>
              </w:rPr>
              <w:t>资料来源：</w:t>
            </w:r>
            <w:r>
              <w:rPr>
                <w:rFonts w:hint="eastAsia" w:eastAsia="楷体_GB2312" w:cs="Times New Roman"/>
                <w:kern w:val="2"/>
                <w:sz w:val="18"/>
                <w:szCs w:val="18"/>
                <w:lang w:val="en-US" w:eastAsia="zh-CN" w:bidi="ar-SA"/>
              </w:rPr>
              <w:t>WIND</w:t>
            </w:r>
            <w:r>
              <w:rPr>
                <w:rFonts w:hint="eastAsia" w:ascii="Times New Roman" w:hAnsi="Times New Roman" w:eastAsia="楷体_GB2312" w:cs="Times New Roman"/>
                <w:kern w:val="2"/>
                <w:sz w:val="18"/>
                <w:szCs w:val="18"/>
                <w:lang w:val="en-US" w:eastAsia="zh-CN" w:bidi="ar-SA"/>
              </w:rPr>
              <w:t>，长安期货</w:t>
            </w:r>
          </w:p>
        </w:tc>
      </w:tr>
      <w:tr>
        <w:tblPrEx>
          <w:tblLayout w:type="fixed"/>
          <w:tblCellMar>
            <w:top w:w="0" w:type="dxa"/>
            <w:left w:w="0" w:type="dxa"/>
            <w:bottom w:w="0" w:type="dxa"/>
            <w:right w:w="0" w:type="dxa"/>
          </w:tblCellMar>
        </w:tblPrEx>
        <w:trPr>
          <w:trHeight w:val="129" w:hRule="exact"/>
          <w:jc w:val="center"/>
        </w:trPr>
        <w:tc>
          <w:tcPr>
            <w:tcW w:w="4847" w:type="dxa"/>
            <w:tcBorders>
              <w:top w:val="nil"/>
              <w:left w:val="nil"/>
              <w:bottom w:val="nil"/>
              <w:right w:val="nil"/>
            </w:tcBorders>
            <w:shd w:val="clear" w:color="auto" w:fill="auto"/>
            <w:vAlign w:val="center"/>
          </w:tcPr>
          <w:p>
            <w:pPr>
              <w:widowControl w:val="0"/>
              <w:spacing w:after="120"/>
              <w:jc w:val="center"/>
              <w:rPr>
                <w:rFonts w:ascii="Times New Roman" w:hAnsi="Times New Roman" w:eastAsia="楷体_GB2312" w:cs="Times New Roman"/>
                <w:kern w:val="2"/>
                <w:sz w:val="18"/>
                <w:szCs w:val="18"/>
                <w:lang w:val="en-US" w:eastAsia="zh-CN" w:bidi="ar-SA"/>
              </w:rPr>
            </w:pPr>
          </w:p>
        </w:tc>
        <w:tc>
          <w:tcPr>
            <w:tcW w:w="240" w:type="dxa"/>
            <w:tcBorders>
              <w:left w:val="nil"/>
              <w:right w:val="nil"/>
            </w:tcBorders>
            <w:shd w:val="clear" w:color="auto" w:fill="auto"/>
            <w:vAlign w:val="center"/>
          </w:tcPr>
          <w:p>
            <w:pPr>
              <w:widowControl w:val="0"/>
              <w:spacing w:after="240" w:line="320" w:lineRule="exact"/>
              <w:ind w:firstLine="0" w:firstLineChars="0"/>
              <w:jc w:val="both"/>
              <w:rPr>
                <w:rFonts w:ascii="Times New Roman" w:hAnsi="Times New Roman" w:eastAsia="楷体_GB2312" w:cs="Times New Roman"/>
                <w:kern w:val="2"/>
                <w:sz w:val="21"/>
                <w:szCs w:val="22"/>
                <w:lang w:val="en-US" w:eastAsia="zh-CN" w:bidi="ar-SA"/>
              </w:rPr>
            </w:pPr>
          </w:p>
        </w:tc>
        <w:tc>
          <w:tcPr>
            <w:tcW w:w="4873" w:type="dxa"/>
            <w:tcBorders>
              <w:top w:val="nil"/>
              <w:left w:val="nil"/>
              <w:bottom w:val="nil"/>
              <w:right w:val="nil"/>
            </w:tcBorders>
            <w:shd w:val="clear" w:color="auto" w:fill="auto"/>
            <w:vAlign w:val="center"/>
          </w:tcPr>
          <w:p>
            <w:pPr>
              <w:widowControl w:val="0"/>
              <w:spacing w:after="120"/>
              <w:jc w:val="both"/>
              <w:rPr>
                <w:rFonts w:ascii="Times New Roman" w:hAnsi="Times New Roman" w:eastAsia="楷体_GB2312" w:cs="Times New Roman"/>
                <w:kern w:val="2"/>
                <w:sz w:val="18"/>
                <w:szCs w:val="18"/>
                <w:lang w:val="en-US" w:eastAsia="zh-CN" w:bidi="ar-SA"/>
              </w:rPr>
            </w:pPr>
          </w:p>
        </w:tc>
      </w:tr>
    </w:tbl>
    <w:p>
      <w:p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下游开工小升</w:t>
      </w:r>
      <w:bookmarkStart w:id="0" w:name="_GoBack"/>
      <w:bookmarkEnd w:id="0"/>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据隆众资讯，上周EPS开工率环比上升5.24%至70.94%；PS开工率环比上升1.8个百分点至83.92%；ABS开工率开工率环比上升1.48个百分点至99.38%；UPR开工率环比上升2个百分点至35%。下游开工整体小升，利润偏好，短期高开工料将维持。</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综上所述，成本端有支撑，苯乙烯港口库存略有下滑，且下游需求向好，中期来看，苯乙烯价格或震荡偏强，不过考虑到新装置投产在即，上行空间料有限。</w:t>
      </w:r>
    </w:p>
    <w:p>
      <w:pP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二、操作计划</w:t>
      </w:r>
    </w:p>
    <w:p>
      <w:pPr>
        <w:numPr>
          <w:ilvl w:val="0"/>
          <w:numId w:val="1"/>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合约选择：</w:t>
      </w:r>
    </w:p>
    <w:p>
      <w:pPr>
        <w:numPr>
          <w:ilvl w:val="0"/>
          <w:numId w:val="0"/>
        </w:num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考虑到流动性，选择主力合约EB2101，持有时间定为11月之前。</w:t>
      </w:r>
    </w:p>
    <w:p>
      <w:pPr>
        <w:numPr>
          <w:ilvl w:val="0"/>
          <w:numId w:val="1"/>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建仓：</w:t>
      </w:r>
    </w:p>
    <w:p>
      <w:pPr>
        <w:numPr>
          <w:ilvl w:val="0"/>
          <w:numId w:val="0"/>
        </w:numPr>
        <w:ind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期价在5730-5760之间时，择机建立多单70手；</w:t>
      </w:r>
    </w:p>
    <w:p>
      <w:pPr>
        <w:numPr>
          <w:ilvl w:val="0"/>
          <w:numId w:val="0"/>
        </w:numPr>
        <w:ind w:leftChars="0"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期价在5670-5700之间时，加多单80手。</w:t>
      </w:r>
    </w:p>
    <w:p>
      <w:pPr>
        <w:numPr>
          <w:ilvl w:val="0"/>
          <w:numId w:val="0"/>
        </w:numPr>
        <w:ind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若完成150手全部建仓，持仓均价约在5720左右；保证金占用约80万，占总资金的约8%。</w:t>
      </w:r>
    </w:p>
    <w:p>
      <w:pPr>
        <w:numPr>
          <w:ilvl w:val="0"/>
          <w:numId w:val="1"/>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止盈止损：</w:t>
      </w:r>
    </w:p>
    <w:p>
      <w:pPr>
        <w:numPr>
          <w:ilvl w:val="0"/>
          <w:numId w:val="0"/>
        </w:numPr>
        <w:ind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以区间点位设置止盈止损。</w:t>
      </w:r>
    </w:p>
    <w:p>
      <w:pPr>
        <w:numPr>
          <w:ilvl w:val="0"/>
          <w:numId w:val="0"/>
        </w:numPr>
        <w:ind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止损区间为5490-5520；</w:t>
      </w:r>
    </w:p>
    <w:p>
      <w:pPr>
        <w:numPr>
          <w:ilvl w:val="0"/>
          <w:numId w:val="0"/>
        </w:numPr>
        <w:ind w:leftChars="0"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止盈区间为5900-5950。</w:t>
      </w:r>
    </w:p>
    <w:p>
      <w:pPr>
        <w:numPr>
          <w:ilvl w:val="0"/>
          <w:numId w:val="1"/>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风险控制</w:t>
      </w:r>
    </w:p>
    <w:p>
      <w:pPr>
        <w:numPr>
          <w:ilvl w:val="0"/>
          <w:numId w:val="0"/>
        </w:numPr>
        <w:ind w:leftChars="0"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分批建仓，取得良好建仓点位；将资金占用率控制在20%以内；当行情发生不利变动，严格执行止损。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F4638"/>
    <w:multiLevelType w:val="singleLevel"/>
    <w:tmpl w:val="27CF463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25154"/>
    <w:rsid w:val="01261108"/>
    <w:rsid w:val="018D62FA"/>
    <w:rsid w:val="01EA56F2"/>
    <w:rsid w:val="021E0AE6"/>
    <w:rsid w:val="03DE58EE"/>
    <w:rsid w:val="03E00909"/>
    <w:rsid w:val="046E7D42"/>
    <w:rsid w:val="04D0494F"/>
    <w:rsid w:val="04F82E9F"/>
    <w:rsid w:val="052056D6"/>
    <w:rsid w:val="066B0DAF"/>
    <w:rsid w:val="06717422"/>
    <w:rsid w:val="06837D14"/>
    <w:rsid w:val="076247AC"/>
    <w:rsid w:val="080838E2"/>
    <w:rsid w:val="08B32EF6"/>
    <w:rsid w:val="09704834"/>
    <w:rsid w:val="09FD7B6F"/>
    <w:rsid w:val="0B027649"/>
    <w:rsid w:val="0B15408F"/>
    <w:rsid w:val="0C2D7349"/>
    <w:rsid w:val="0DA601C5"/>
    <w:rsid w:val="0DF464C0"/>
    <w:rsid w:val="0E1010A2"/>
    <w:rsid w:val="0E2459B2"/>
    <w:rsid w:val="0E66630D"/>
    <w:rsid w:val="0E682960"/>
    <w:rsid w:val="0E9248EC"/>
    <w:rsid w:val="0F183520"/>
    <w:rsid w:val="10EE1F98"/>
    <w:rsid w:val="1159290D"/>
    <w:rsid w:val="11AB1902"/>
    <w:rsid w:val="11D11437"/>
    <w:rsid w:val="120A3373"/>
    <w:rsid w:val="120C2549"/>
    <w:rsid w:val="129817C1"/>
    <w:rsid w:val="129B1D1F"/>
    <w:rsid w:val="12B65627"/>
    <w:rsid w:val="12DF3772"/>
    <w:rsid w:val="13234E22"/>
    <w:rsid w:val="134F5066"/>
    <w:rsid w:val="14121FE6"/>
    <w:rsid w:val="14146832"/>
    <w:rsid w:val="1426026E"/>
    <w:rsid w:val="161D5880"/>
    <w:rsid w:val="1649189C"/>
    <w:rsid w:val="178565A4"/>
    <w:rsid w:val="18607150"/>
    <w:rsid w:val="186D6650"/>
    <w:rsid w:val="18726CBE"/>
    <w:rsid w:val="18C9365B"/>
    <w:rsid w:val="19590BD9"/>
    <w:rsid w:val="1A734CF7"/>
    <w:rsid w:val="1B024D56"/>
    <w:rsid w:val="1B554778"/>
    <w:rsid w:val="1BD22A08"/>
    <w:rsid w:val="1C2A37AA"/>
    <w:rsid w:val="1C9D7C05"/>
    <w:rsid w:val="1D832188"/>
    <w:rsid w:val="1DAB6D7D"/>
    <w:rsid w:val="1E5C3AED"/>
    <w:rsid w:val="1EC37542"/>
    <w:rsid w:val="1FD323B9"/>
    <w:rsid w:val="1FDF2C87"/>
    <w:rsid w:val="20BF18E7"/>
    <w:rsid w:val="217B4ACE"/>
    <w:rsid w:val="228919FB"/>
    <w:rsid w:val="235D2E8A"/>
    <w:rsid w:val="236E03B0"/>
    <w:rsid w:val="23A3183F"/>
    <w:rsid w:val="23C7169F"/>
    <w:rsid w:val="23D04F68"/>
    <w:rsid w:val="2455796D"/>
    <w:rsid w:val="246C39F1"/>
    <w:rsid w:val="24B269B7"/>
    <w:rsid w:val="2559428A"/>
    <w:rsid w:val="25BC5167"/>
    <w:rsid w:val="25F2518A"/>
    <w:rsid w:val="270E407F"/>
    <w:rsid w:val="27392F6E"/>
    <w:rsid w:val="28A6298C"/>
    <w:rsid w:val="28C256FB"/>
    <w:rsid w:val="28C655E7"/>
    <w:rsid w:val="28DF3AD1"/>
    <w:rsid w:val="29114846"/>
    <w:rsid w:val="29E07E34"/>
    <w:rsid w:val="2A7F5BC1"/>
    <w:rsid w:val="2A946FEE"/>
    <w:rsid w:val="2AB745DF"/>
    <w:rsid w:val="2B5B76A2"/>
    <w:rsid w:val="2B735258"/>
    <w:rsid w:val="2BFF2879"/>
    <w:rsid w:val="2D082B47"/>
    <w:rsid w:val="2D301E09"/>
    <w:rsid w:val="2D596F0A"/>
    <w:rsid w:val="2DA84844"/>
    <w:rsid w:val="2E8452CD"/>
    <w:rsid w:val="2E925067"/>
    <w:rsid w:val="2ED75CD6"/>
    <w:rsid w:val="2EED5454"/>
    <w:rsid w:val="2F6D3359"/>
    <w:rsid w:val="30EB1501"/>
    <w:rsid w:val="31380958"/>
    <w:rsid w:val="31A66D55"/>
    <w:rsid w:val="32132BEF"/>
    <w:rsid w:val="32770CB5"/>
    <w:rsid w:val="32AD4FD0"/>
    <w:rsid w:val="32C219A9"/>
    <w:rsid w:val="34B3484C"/>
    <w:rsid w:val="35D11B70"/>
    <w:rsid w:val="36536D1C"/>
    <w:rsid w:val="366F77C5"/>
    <w:rsid w:val="36CA3A99"/>
    <w:rsid w:val="373C0293"/>
    <w:rsid w:val="37483458"/>
    <w:rsid w:val="381C6576"/>
    <w:rsid w:val="38920012"/>
    <w:rsid w:val="38C858FC"/>
    <w:rsid w:val="396569E7"/>
    <w:rsid w:val="39957106"/>
    <w:rsid w:val="39C40735"/>
    <w:rsid w:val="3A3B2CA5"/>
    <w:rsid w:val="3A493A0D"/>
    <w:rsid w:val="3A83627B"/>
    <w:rsid w:val="3B27770B"/>
    <w:rsid w:val="3BA07DFA"/>
    <w:rsid w:val="3C0055DC"/>
    <w:rsid w:val="3C55641F"/>
    <w:rsid w:val="3CAB1C17"/>
    <w:rsid w:val="3CC11D3B"/>
    <w:rsid w:val="3CEB2B1E"/>
    <w:rsid w:val="3DF043D4"/>
    <w:rsid w:val="3E6226FC"/>
    <w:rsid w:val="3E667D01"/>
    <w:rsid w:val="3E71516F"/>
    <w:rsid w:val="3E843E4A"/>
    <w:rsid w:val="3E8D7886"/>
    <w:rsid w:val="3F017B05"/>
    <w:rsid w:val="40EA25F0"/>
    <w:rsid w:val="414614CD"/>
    <w:rsid w:val="4178294A"/>
    <w:rsid w:val="42AC0A8F"/>
    <w:rsid w:val="43271CEA"/>
    <w:rsid w:val="434B2342"/>
    <w:rsid w:val="450F3375"/>
    <w:rsid w:val="482E4477"/>
    <w:rsid w:val="48364203"/>
    <w:rsid w:val="489377FF"/>
    <w:rsid w:val="491D4966"/>
    <w:rsid w:val="49207E09"/>
    <w:rsid w:val="4956314A"/>
    <w:rsid w:val="49A11DBB"/>
    <w:rsid w:val="49DF1C3F"/>
    <w:rsid w:val="4ADA02C9"/>
    <w:rsid w:val="4B1301C4"/>
    <w:rsid w:val="4BB01392"/>
    <w:rsid w:val="4E142AE5"/>
    <w:rsid w:val="4E51192E"/>
    <w:rsid w:val="4E5B2B87"/>
    <w:rsid w:val="4ECA2116"/>
    <w:rsid w:val="4F193763"/>
    <w:rsid w:val="4F460BF2"/>
    <w:rsid w:val="4F7159DE"/>
    <w:rsid w:val="505C7A00"/>
    <w:rsid w:val="516E1744"/>
    <w:rsid w:val="51BD27E6"/>
    <w:rsid w:val="520D2311"/>
    <w:rsid w:val="52155A83"/>
    <w:rsid w:val="52D377C9"/>
    <w:rsid w:val="530879CB"/>
    <w:rsid w:val="534C694D"/>
    <w:rsid w:val="54D63807"/>
    <w:rsid w:val="54F25E08"/>
    <w:rsid w:val="55671B83"/>
    <w:rsid w:val="556B2DF3"/>
    <w:rsid w:val="56B64BC9"/>
    <w:rsid w:val="56D23B7E"/>
    <w:rsid w:val="56F4028C"/>
    <w:rsid w:val="58C730C0"/>
    <w:rsid w:val="58D967F7"/>
    <w:rsid w:val="59804DB2"/>
    <w:rsid w:val="5A8D5729"/>
    <w:rsid w:val="5CEC6619"/>
    <w:rsid w:val="5D901299"/>
    <w:rsid w:val="5DF84ADD"/>
    <w:rsid w:val="5E1A15C2"/>
    <w:rsid w:val="5E50506C"/>
    <w:rsid w:val="5E6743DC"/>
    <w:rsid w:val="5E7F507A"/>
    <w:rsid w:val="5EB26B10"/>
    <w:rsid w:val="5EBB44BA"/>
    <w:rsid w:val="5FAF06D3"/>
    <w:rsid w:val="5FD81F9B"/>
    <w:rsid w:val="607A0789"/>
    <w:rsid w:val="60B56102"/>
    <w:rsid w:val="62787FD5"/>
    <w:rsid w:val="63216D4E"/>
    <w:rsid w:val="6336437C"/>
    <w:rsid w:val="63A175BC"/>
    <w:rsid w:val="642E715A"/>
    <w:rsid w:val="64596731"/>
    <w:rsid w:val="65EF31F0"/>
    <w:rsid w:val="66000CA2"/>
    <w:rsid w:val="660D7BE7"/>
    <w:rsid w:val="67281715"/>
    <w:rsid w:val="675B6490"/>
    <w:rsid w:val="679B2DE6"/>
    <w:rsid w:val="67A46BD8"/>
    <w:rsid w:val="67AB5521"/>
    <w:rsid w:val="69C66604"/>
    <w:rsid w:val="69C7665C"/>
    <w:rsid w:val="6A060765"/>
    <w:rsid w:val="6A100215"/>
    <w:rsid w:val="6A7A0B08"/>
    <w:rsid w:val="6A8F4146"/>
    <w:rsid w:val="6AD65D04"/>
    <w:rsid w:val="6AE25E92"/>
    <w:rsid w:val="6AF56378"/>
    <w:rsid w:val="6B0A3C83"/>
    <w:rsid w:val="6B7156CE"/>
    <w:rsid w:val="6B8D535D"/>
    <w:rsid w:val="6B9320DE"/>
    <w:rsid w:val="6BF82B5C"/>
    <w:rsid w:val="6C720A7F"/>
    <w:rsid w:val="6CAB6257"/>
    <w:rsid w:val="6D9E592E"/>
    <w:rsid w:val="6E1A1BB6"/>
    <w:rsid w:val="6E616C52"/>
    <w:rsid w:val="6E9D6B22"/>
    <w:rsid w:val="6F3C7905"/>
    <w:rsid w:val="6F9566CA"/>
    <w:rsid w:val="709E22C3"/>
    <w:rsid w:val="70DF3B9E"/>
    <w:rsid w:val="70F0688D"/>
    <w:rsid w:val="71FB332F"/>
    <w:rsid w:val="72FB0CA2"/>
    <w:rsid w:val="74391566"/>
    <w:rsid w:val="746842B8"/>
    <w:rsid w:val="74B52688"/>
    <w:rsid w:val="74F10D36"/>
    <w:rsid w:val="750A3156"/>
    <w:rsid w:val="757E7312"/>
    <w:rsid w:val="75E43281"/>
    <w:rsid w:val="76287239"/>
    <w:rsid w:val="764928A0"/>
    <w:rsid w:val="7695308D"/>
    <w:rsid w:val="76C72D7F"/>
    <w:rsid w:val="77284B94"/>
    <w:rsid w:val="773E6C78"/>
    <w:rsid w:val="785F739B"/>
    <w:rsid w:val="787D3027"/>
    <w:rsid w:val="79164C85"/>
    <w:rsid w:val="79415E38"/>
    <w:rsid w:val="79882749"/>
    <w:rsid w:val="79BF413E"/>
    <w:rsid w:val="79DC2E94"/>
    <w:rsid w:val="7A000CBD"/>
    <w:rsid w:val="7AA83A60"/>
    <w:rsid w:val="7AC154CE"/>
    <w:rsid w:val="7C69660D"/>
    <w:rsid w:val="7CCF4118"/>
    <w:rsid w:val="7CE057AF"/>
    <w:rsid w:val="7D5D6B3A"/>
    <w:rsid w:val="7D653394"/>
    <w:rsid w:val="7D952517"/>
    <w:rsid w:val="7E71755F"/>
    <w:rsid w:val="7F0A32DA"/>
    <w:rsid w:val="7FE56B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
<Relationship Id="rId1" Target="styles.xml" Type="http://schemas.openxmlformats.org/officeDocument/2006/relationships/styles"/>
<Relationship Id="rId10" Target="../customXml/item1.xml" Type="http://schemas.openxmlformats.org/officeDocument/2006/relationships/customXml"/>
<Relationship Id="rId11" Target="numbering.xml" Type="http://schemas.openxmlformats.org/officeDocument/2006/relationships/numbering"/>
<Relationship Id="rId12" Target="fontTable.xml" Type="http://schemas.openxmlformats.org/officeDocument/2006/relationships/fontTable"/>
<Relationship Id="rId2" Target="settings.xml" Type="http://schemas.openxmlformats.org/officeDocument/2006/relationships/settings"/>
<Relationship Id="rId3" Target="theme/theme1.xml" Type="http://schemas.openxmlformats.org/officeDocument/2006/relationships/theme"/>
<Relationship Id="rId4" Target="media/image1.png" Type="http://schemas.openxmlformats.org/officeDocument/2006/relationships/image"/>
<Relationship Id="rId5" Target="media/image2.png" Type="http://schemas.openxmlformats.org/officeDocument/2006/relationships/image"/>
<Relationship Id="rId6" Target="media/image3.png" Type="http://schemas.openxmlformats.org/officeDocument/2006/relationships/image"/>
<Relationship Id="rId7" Target="media/image4.png" Type="http://schemas.openxmlformats.org/officeDocument/2006/relationships/image"/>
<Relationship Id="rId8" Target="media/image5.png" Type="http://schemas.openxmlformats.org/officeDocument/2006/relationships/image"/>
<Relationship Id="rId9" Target="media/image6.png" Type="http://schemas.openxmlformats.org/officeDocument/2006/relationships/imag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2014-10-29T12:08:00Z</dcterms:created>
  <dc:creator>zg</dc:creator>
  <cp:lastModifiedBy>  coffee 蜗牛</cp:lastModifiedBy>
  <dcterms:modified xsi:type="dcterms:W3CDTF">2020-09-15T05:11:39Z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