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0"/>
        <w:tblW w:w="11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5244"/>
        <w:gridCol w:w="3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1453" w:type="dxa"/>
            <w:gridSpan w:val="3"/>
            <w:vAlign w:val="top"/>
          </w:tcPr>
          <w:p>
            <w:pPr>
              <w:widowControl/>
              <w:spacing w:before="0" w:beforeLines="0" w:after="0" w:afterLines="0"/>
              <w:jc w:val="left"/>
              <w:rPr>
                <w:rFonts w:ascii="Times New Roman" w:hAnsi="Times New Roman" w:eastAsia="华文楷体"/>
                <w:b/>
                <w:color w:val="002060"/>
                <w:sz w:val="28"/>
                <w:szCs w:val="36"/>
              </w:rPr>
            </w:pPr>
            <w:r>
              <w:rPr>
                <w:rFonts w:hint="eastAsia" w:ascii="Times New Roman" w:hAnsi="Times New Roman" w:eastAsia="华文楷体" w:cs="Times New Roman"/>
                <w:b/>
                <w:color w:val="002060"/>
                <w:kern w:val="2"/>
                <w:sz w:val="28"/>
                <w:szCs w:val="36"/>
                <w:lang w:val="en-US" w:eastAsia="zh-CN" w:bidi="ar-SA"/>
              </w:rPr>
              <w:pict>
                <v:shape id="图片 57" o:spid="_x0000_s1027" type="#_x0000_t75" style="height:51.1pt;width:213.75pt;rotation:0f;" o:ole="f" fillcolor="#FFFFFF" filled="f" o:preferrelative="t" stroked="f" coordorigin="0,0" coordsize="21600,21600">
                  <v:fill on="f" color2="#FFFFFF" focus="0%"/>
                  <v:imagedata cropleft="4455f" croptop="7246f" cropright="3325f" cropbottom="10117f" gain="65536f" blacklevel="0f" gamma="0" chromakey="#FFFFFF" o:title="" r:id="rId13"/>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1453" w:type="dxa"/>
            <w:gridSpan w:val="3"/>
            <w:shd w:val="clear" w:color="auto" w:fill="C6D9F1"/>
            <w:vAlign w:val="top"/>
          </w:tcPr>
          <w:p>
            <w:pPr>
              <w:widowControl/>
              <w:spacing w:before="156" w:after="156"/>
              <w:ind w:left="210" w:leftChars="100"/>
              <w:jc w:val="left"/>
              <w:rPr>
                <w:rFonts w:ascii="Times New Roman" w:hAnsi="Times New Roman" w:eastAsia="华文楷体"/>
                <w:b/>
                <w:color w:val="002060"/>
                <w:sz w:val="28"/>
                <w:szCs w:val="36"/>
              </w:rPr>
            </w:pPr>
            <w:bookmarkStart w:id="361" w:name="_GoBack"/>
            <w:r>
              <w:rPr>
                <w:rFonts w:hint="eastAsia" w:ascii="Times New Roman" w:hAnsi="Times New Roman" w:eastAsia="华文楷体"/>
                <w:b/>
                <w:color w:val="002060"/>
                <w:sz w:val="28"/>
                <w:szCs w:val="36"/>
              </w:rPr>
              <w:t>中投期货</w:t>
            </w:r>
            <w:bookmarkEnd w:id="361"/>
            <w:r>
              <w:rPr>
                <w:rFonts w:ascii="Times New Roman" w:hAnsi="Times New Roman" w:eastAsia="华文楷体"/>
                <w:b/>
                <w:color w:val="002060"/>
                <w:sz w:val="28"/>
                <w:szCs w:val="36"/>
              </w:rPr>
              <w:t>策略周报（</w:t>
            </w:r>
            <w:r>
              <w:rPr>
                <w:rFonts w:hint="eastAsia" w:ascii="Times New Roman" w:hAnsi="Times New Roman" w:eastAsia="华文楷体"/>
                <w:b/>
                <w:color w:val="002060"/>
                <w:sz w:val="28"/>
                <w:szCs w:val="36"/>
              </w:rPr>
              <w:t>第70期</w:t>
            </w:r>
            <w:r>
              <w:rPr>
                <w:rFonts w:ascii="Times New Roman" w:hAnsi="Times New Roman" w:eastAsia="华文楷体"/>
                <w:b/>
                <w:color w:val="002060"/>
                <w:sz w:val="28"/>
                <w:szCs w:val="36"/>
              </w:rPr>
              <w:t>）</w:t>
            </w:r>
            <w:r>
              <w:rPr>
                <w:rFonts w:hint="eastAsia" w:ascii="Times New Roman" w:hAnsi="Times New Roman" w:eastAsia="华文楷体"/>
                <w:b/>
                <w:color w:val="002060"/>
                <w:sz w:val="28"/>
                <w:szCs w:val="36"/>
              </w:rPr>
              <w:t xml:space="preserve">                </w:t>
            </w:r>
            <w:r>
              <w:rPr>
                <w:rFonts w:ascii="Times New Roman" w:hAnsi="Times New Roman" w:eastAsia="华文楷体"/>
                <w:b/>
                <w:color w:val="002060"/>
                <w:sz w:val="28"/>
                <w:szCs w:val="36"/>
              </w:rPr>
              <w:t xml:space="preserve"> </w:t>
            </w:r>
            <w:r>
              <w:rPr>
                <w:rFonts w:hint="eastAsia" w:ascii="Times New Roman" w:hAnsi="Times New Roman" w:eastAsia="华文楷体"/>
                <w:b/>
                <w:color w:val="002060"/>
                <w:sz w:val="28"/>
                <w:szCs w:val="36"/>
              </w:rPr>
              <w:t xml:space="preserve">   </w:t>
            </w:r>
            <w:r>
              <w:rPr>
                <w:rFonts w:ascii="Times New Roman" w:hAnsi="Times New Roman" w:eastAsia="华文楷体"/>
                <w:b/>
                <w:color w:val="002060"/>
                <w:sz w:val="28"/>
                <w:szCs w:val="36"/>
              </w:rPr>
              <w:t xml:space="preserve">     </w:t>
            </w:r>
            <w:r>
              <w:rPr>
                <w:rFonts w:hint="eastAsia" w:ascii="Times New Roman" w:hAnsi="Times New Roman" w:eastAsia="华文楷体"/>
                <w:b/>
                <w:color w:val="002060"/>
                <w:sz w:val="28"/>
                <w:szCs w:val="36"/>
              </w:rPr>
              <w:t xml:space="preserve">            </w:t>
            </w:r>
            <w:r>
              <w:rPr>
                <w:rFonts w:hint="eastAsia" w:ascii="Times New Roman" w:hAnsi="Times New Roman" w:eastAsia="华文楷体"/>
                <w:b/>
                <w:color w:val="002060"/>
                <w:szCs w:val="36"/>
              </w:rPr>
              <w:t>2018年0</w:t>
            </w:r>
            <w:r>
              <w:rPr>
                <w:rFonts w:ascii="Times New Roman" w:hAnsi="Times New Roman" w:eastAsia="华文楷体"/>
                <w:b/>
                <w:color w:val="002060"/>
                <w:szCs w:val="36"/>
              </w:rPr>
              <w:t>7</w:t>
            </w:r>
            <w:r>
              <w:rPr>
                <w:rFonts w:hint="eastAsia" w:ascii="Times New Roman" w:hAnsi="Times New Roman" w:eastAsia="华文楷体"/>
                <w:b/>
                <w:color w:val="002060"/>
                <w:szCs w:val="36"/>
              </w:rPr>
              <w:t>月0</w:t>
            </w:r>
            <w:r>
              <w:rPr>
                <w:rFonts w:ascii="Times New Roman" w:hAnsi="Times New Roman" w:eastAsia="华文楷体"/>
                <w:b/>
                <w:color w:val="002060"/>
                <w:szCs w:val="36"/>
              </w:rPr>
              <w:t>1</w:t>
            </w:r>
            <w:r>
              <w:rPr>
                <w:rFonts w:hint="eastAsia" w:ascii="Times New Roman" w:hAnsi="Times New Roman" w:eastAsia="华文楷体"/>
                <w:b/>
                <w:color w:val="002060"/>
                <w:szCs w:val="36"/>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7938" w:type="dxa"/>
            <w:gridSpan w:val="2"/>
            <w:shd w:val="clear" w:color="auto" w:fill="FF0000"/>
            <w:vAlign w:val="top"/>
          </w:tcPr>
          <w:p>
            <w:pPr>
              <w:widowControl/>
              <w:spacing w:before="0" w:beforeLines="0" w:after="0" w:afterLines="0" w:line="20" w:lineRule="exact"/>
              <w:jc w:val="left"/>
              <w:rPr>
                <w:rFonts w:ascii="Times New Roman" w:hAnsi="Times New Roman" w:eastAsia="华文楷体"/>
                <w:b/>
                <w:color w:val="002060"/>
                <w:sz w:val="28"/>
                <w:szCs w:val="36"/>
              </w:rPr>
            </w:pPr>
          </w:p>
        </w:tc>
        <w:tc>
          <w:tcPr>
            <w:tcW w:w="3515" w:type="dxa"/>
            <w:shd w:val="clear" w:color="auto" w:fill="0070C0"/>
            <w:vAlign w:val="top"/>
          </w:tcPr>
          <w:p>
            <w:pPr>
              <w:widowControl/>
              <w:spacing w:before="0" w:beforeLines="0" w:after="0" w:afterLines="0" w:line="20" w:lineRule="exact"/>
              <w:jc w:val="left"/>
              <w:rPr>
                <w:rFonts w:ascii="Times New Roman" w:hAnsi="Times New Roman" w:eastAsia="华文楷体"/>
                <w:b/>
                <w:color w:val="002060"/>
                <w:sz w:val="28"/>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2694" w:type="dxa"/>
            <w:shd w:val="clear" w:color="auto" w:fill="F2F2F2"/>
            <w:vAlign w:val="top"/>
          </w:tcPr>
          <w:p>
            <w:pPr>
              <w:widowControl/>
              <w:spacing w:before="0" w:beforeLines="0" w:after="0" w:afterLines="0"/>
              <w:ind w:left="210" w:leftChars="100"/>
              <w:rPr>
                <w:rFonts w:ascii="微软雅黑" w:hAnsi="微软雅黑" w:eastAsia="微软雅黑"/>
                <w:sz w:val="18"/>
              </w:rPr>
            </w:pPr>
            <w:r>
              <w:rPr>
                <w:rFonts w:hint="eastAsia" w:ascii="微软雅黑" w:hAnsi="微软雅黑" w:eastAsia="微软雅黑"/>
                <w:b/>
                <w:color w:val="002060"/>
                <w:sz w:val="22"/>
                <w:szCs w:val="36"/>
              </w:rPr>
              <w:t>中投期货研究所</w:t>
            </w:r>
          </w:p>
        </w:tc>
        <w:tc>
          <w:tcPr>
            <w:tcW w:w="8759" w:type="dxa"/>
            <w:gridSpan w:val="2"/>
            <w:vMerge w:val="restart"/>
            <w:vAlign w:val="top"/>
          </w:tcPr>
          <w:p>
            <w:pPr>
              <w:widowControl/>
              <w:pBdr>
                <w:bottom w:val="single" w:color="808080" w:sz="12" w:space="1"/>
              </w:pBdr>
              <w:spacing w:before="156" w:after="156" w:line="276" w:lineRule="auto"/>
              <w:ind w:left="210" w:leftChars="100"/>
              <w:rPr>
                <w:rFonts w:ascii="微软雅黑" w:hAnsi="微软雅黑" w:eastAsia="微软雅黑"/>
                <w:b/>
                <w:color w:val="002060"/>
                <w:sz w:val="28"/>
                <w:szCs w:val="36"/>
              </w:rPr>
            </w:pPr>
            <w:r>
              <w:rPr>
                <w:rFonts w:ascii="微软雅黑" w:hAnsi="微软雅黑" w:eastAsia="微软雅黑"/>
                <w:b/>
                <w:color w:val="002060"/>
                <w:sz w:val="28"/>
                <w:szCs w:val="36"/>
              </w:rPr>
              <w:t>周度投资视点</w:t>
            </w:r>
          </w:p>
          <w:p>
            <w:pPr>
              <w:widowControl/>
              <w:spacing w:before="62" w:beforeLines="20" w:after="156" w:line="240" w:lineRule="exact"/>
              <w:ind w:left="210" w:leftChars="100"/>
              <w:rPr>
                <w:rFonts w:ascii="Calibri" w:hAnsi="Calibri" w:eastAsia="楷体" w:cs="Calibri"/>
                <w:color w:val="FF0000"/>
                <w:sz w:val="18"/>
                <w:szCs w:val="18"/>
              </w:rPr>
            </w:pPr>
            <w:r>
              <w:rPr>
                <w:rFonts w:ascii="Calibri" w:hAnsi="Calibri" w:eastAsia="楷体" w:cs="Calibri"/>
                <w:b/>
                <w:color w:val="C00000"/>
                <w:sz w:val="18"/>
                <w:szCs w:val="18"/>
              </w:rPr>
              <w:t>宏观策略：</w:t>
            </w:r>
            <w:r>
              <w:rPr>
                <w:rFonts w:hint="eastAsia" w:ascii="Calibri" w:hAnsi="Calibri" w:eastAsia="楷体" w:cs="Calibri"/>
                <w:sz w:val="18"/>
                <w:szCs w:val="18"/>
              </w:rPr>
              <w:t>在贸易战和经济数据不佳的情况下工业品已经出现明显下跌，环保回头看尚未结束，供应容易受到影响的品种极易出现反复，因此追空风险较大。前期在我们建议下入场的投资者可凭借较佳的入场点位继续持有。空仓投资者可等待市场反弹后的抛空机会。</w:t>
            </w:r>
            <w:r>
              <w:rPr>
                <w:rFonts w:ascii="Calibri" w:hAnsi="Calibri" w:eastAsia="楷体" w:cs="Calibri"/>
                <w:sz w:val="18"/>
                <w:szCs w:val="18"/>
              </w:rPr>
              <w:t>（张伟）</w:t>
            </w:r>
          </w:p>
          <w:p>
            <w:pPr>
              <w:widowControl/>
              <w:spacing w:before="62" w:beforeLines="20" w:after="156" w:line="240" w:lineRule="exact"/>
              <w:ind w:left="210" w:leftChars="100"/>
              <w:rPr>
                <w:rFonts w:ascii="Calibri" w:hAnsi="Calibri" w:eastAsia="楷体" w:cs="Calibri"/>
                <w:color w:val="FF0000"/>
                <w:sz w:val="18"/>
                <w:szCs w:val="18"/>
              </w:rPr>
            </w:pPr>
            <w:r>
              <w:rPr>
                <w:rFonts w:ascii="Calibri" w:hAnsi="Calibri" w:eastAsia="楷体" w:cs="Calibri"/>
                <w:b/>
                <w:color w:val="C00000"/>
                <w:sz w:val="18"/>
                <w:szCs w:val="18"/>
              </w:rPr>
              <w:t>股指期货：</w:t>
            </w:r>
            <w:r>
              <w:rPr>
                <w:rFonts w:hint="eastAsia" w:ascii="Calibri" w:hAnsi="Calibri" w:eastAsia="楷体" w:cs="Calibri"/>
                <w:sz w:val="18"/>
                <w:szCs w:val="18"/>
              </w:rPr>
              <w:t>市场连续大跌之后，从总体估值水平、低估值股票占比、市场总体业绩增速、高增长股票占比等几个指标来看，目前A股的估值都是处于历史偏底部水平，可积极关注市场企稳后的买入机会。</w:t>
            </w:r>
            <w:r>
              <w:rPr>
                <w:rFonts w:ascii="Calibri" w:hAnsi="Calibri" w:eastAsia="楷体" w:cs="Calibri"/>
                <w:sz w:val="18"/>
                <w:szCs w:val="18"/>
              </w:rPr>
              <w:t>（张伟）</w:t>
            </w:r>
          </w:p>
          <w:p>
            <w:pPr>
              <w:widowControl/>
              <w:spacing w:before="62" w:beforeLines="20" w:after="156" w:line="240" w:lineRule="exact"/>
              <w:ind w:left="210" w:leftChars="100"/>
              <w:rPr>
                <w:rFonts w:ascii="Calibri" w:hAnsi="Calibri" w:eastAsia="楷体" w:cs="Calibri"/>
                <w:sz w:val="18"/>
                <w:szCs w:val="18"/>
              </w:rPr>
            </w:pPr>
            <w:r>
              <w:rPr>
                <w:rFonts w:ascii="Calibri" w:hAnsi="Calibri" w:eastAsia="楷体" w:cs="Calibri"/>
                <w:b/>
                <w:color w:val="C00000"/>
                <w:sz w:val="18"/>
                <w:szCs w:val="18"/>
              </w:rPr>
              <w:t>贵金属：</w:t>
            </w:r>
            <w:r>
              <w:rPr>
                <w:rFonts w:hint="eastAsia" w:ascii="Calibri" w:hAnsi="Calibri" w:eastAsia="楷体" w:cs="Calibri"/>
                <w:sz w:val="18"/>
                <w:szCs w:val="18"/>
              </w:rPr>
              <w:t>本周贵金属继续下挫，伦金下跌1.37%，收于1252.40，伦银下跌1.88%，收于16.10。本周，贵金属继续受到美元走强压制，但周五欧盟就移民问题达成一项协议，欧盟成员国必须在自愿基础上分担移民问题，并在解救海上移民问题上分担责任。欧盟必须保证有效控制外部边境，并逐步遣返非法移民。欧盟在移民问题上取得进展，欧元受到有力提振，美元大幅下挫，贵金属因此跟随欧元反弹；贸易战方面，欧盟誓言对美国总统特朗普的保护主义作出坚定回击，暗示如果美国对汽车加征关税激化贸易战，欧盟准备采取报复行动；值得关注的是，伊朗毅然重启核电站以对抗美国的石油制裁措施，中东局势更趋紧张；周五的大跌给美元提出了警训，由于美元走强的因素现在已经基本明朗，利多可能出尽，美元走出调整的概率在加大，密切关注美元走势，不宜对金价走势过于悲观，如果美元延续调整，则贵金属近期将迎来反弹。</w:t>
            </w:r>
            <w:r>
              <w:rPr>
                <w:rFonts w:ascii="Calibri" w:hAnsi="Calibri" w:eastAsia="楷体" w:cs="Calibri"/>
                <w:sz w:val="18"/>
                <w:szCs w:val="18"/>
              </w:rPr>
              <w:t>（张磊）</w:t>
            </w:r>
          </w:p>
          <w:p>
            <w:pPr>
              <w:widowControl/>
              <w:spacing w:before="62" w:beforeLines="20" w:after="156" w:line="240" w:lineRule="exact"/>
              <w:ind w:left="210" w:leftChars="100"/>
              <w:rPr>
                <w:rFonts w:ascii="Calibri" w:hAnsi="Calibri" w:eastAsia="楷体" w:cs="Calibri"/>
                <w:sz w:val="18"/>
                <w:szCs w:val="18"/>
              </w:rPr>
            </w:pPr>
            <w:r>
              <w:rPr>
                <w:rFonts w:ascii="Calibri" w:hAnsi="Calibri" w:eastAsia="楷体" w:cs="Calibri"/>
                <w:b/>
                <w:color w:val="C00000"/>
                <w:sz w:val="18"/>
                <w:szCs w:val="18"/>
              </w:rPr>
              <w:t>黑色金属：</w:t>
            </w:r>
            <w:r>
              <w:rPr>
                <w:rFonts w:hint="eastAsia" w:ascii="Calibri" w:hAnsi="Calibri" w:eastAsia="楷体" w:cs="Calibri"/>
                <w:sz w:val="18"/>
                <w:szCs w:val="18"/>
              </w:rPr>
              <w:t>钢材供应平稳，需求走弱，价格高位承压。焦炭在徐州复产及沙钢污染问题下博弈，现货价格见顶回落，关注2100以上抛空机会。铁矿石在人民币贬值利多及新型交割矿标的利空下博弈，470-480区间可择机抛空。</w:t>
            </w:r>
            <w:r>
              <w:rPr>
                <w:rFonts w:ascii="Calibri" w:hAnsi="Calibri" w:eastAsia="楷体" w:cs="Calibri"/>
                <w:sz w:val="18"/>
                <w:szCs w:val="18"/>
              </w:rPr>
              <w:t>（王万超）</w:t>
            </w:r>
          </w:p>
          <w:p>
            <w:pPr>
              <w:widowControl/>
              <w:spacing w:before="62" w:beforeLines="20" w:after="156" w:line="240" w:lineRule="exact"/>
              <w:ind w:left="210" w:leftChars="100"/>
              <w:rPr>
                <w:rFonts w:ascii="Calibri" w:hAnsi="Calibri" w:eastAsia="楷体" w:cs="Calibri"/>
                <w:sz w:val="18"/>
                <w:szCs w:val="18"/>
              </w:rPr>
            </w:pPr>
            <w:r>
              <w:rPr>
                <w:rFonts w:ascii="Calibri" w:hAnsi="Calibri" w:eastAsia="楷体" w:cs="Calibri"/>
                <w:b/>
                <w:color w:val="C00000"/>
                <w:sz w:val="18"/>
                <w:szCs w:val="18"/>
              </w:rPr>
              <w:t>铜：</w:t>
            </w:r>
            <w:r>
              <w:rPr>
                <w:rFonts w:hint="eastAsia" w:ascii="Calibri" w:hAnsi="Calibri" w:eastAsia="楷体" w:cs="Calibri"/>
                <w:color w:val="000000"/>
                <w:sz w:val="18"/>
                <w:szCs w:val="18"/>
              </w:rPr>
              <w:t>缺乏大型铜矿投产、罢工、品位下降等因素使得大多数机构并没有改变未来几年铜矿供应偏紧的预期。当前环保督察组回头看，只江西 60 万吨废铜冶炼粗铜的产能半数将受到影响。而需求方面，房地产超出预期，目前家电尤其空调的产销超预期，加上下半年的电网投资可能有较大增幅，基本面向好，铜价下行空间有限。当前铜市场矛盾依然不算突出。前期主导铜价上涨因素弱化。依旧保持振荡思路。</w:t>
            </w:r>
            <w:r>
              <w:rPr>
                <w:rFonts w:ascii="Calibri" w:hAnsi="Calibri" w:eastAsia="楷体" w:cs="Calibri"/>
                <w:color w:val="000000"/>
                <w:sz w:val="18"/>
                <w:szCs w:val="18"/>
              </w:rPr>
              <w:t>（李小薇）</w:t>
            </w:r>
          </w:p>
          <w:p>
            <w:pPr>
              <w:widowControl/>
              <w:spacing w:before="62" w:beforeLines="20" w:after="156" w:line="240" w:lineRule="exact"/>
              <w:ind w:left="210" w:leftChars="100"/>
              <w:rPr>
                <w:rFonts w:ascii="Calibri" w:hAnsi="Calibri" w:eastAsia="楷体" w:cs="Calibri"/>
                <w:color w:val="000000"/>
                <w:sz w:val="18"/>
                <w:szCs w:val="18"/>
              </w:rPr>
            </w:pPr>
            <w:r>
              <w:rPr>
                <w:rFonts w:ascii="Calibri" w:hAnsi="Calibri" w:eastAsia="楷体" w:cs="Calibri"/>
                <w:b/>
                <w:color w:val="C00000"/>
                <w:sz w:val="18"/>
                <w:szCs w:val="18"/>
              </w:rPr>
              <w:t>锌：</w:t>
            </w:r>
            <w:r>
              <w:rPr>
                <w:rFonts w:hint="eastAsia" w:ascii="Calibri" w:hAnsi="Calibri" w:eastAsia="楷体" w:cs="Calibri"/>
                <w:color w:val="000000"/>
                <w:sz w:val="18"/>
                <w:szCs w:val="18"/>
              </w:rPr>
              <w:t>锌供应紧张的格局将缓解，从而限制锌价上行幅度。而下游消费情况不佳，消费逐渐转淡，预期锌市场去库增速放缓，或重新累库，锌价弱反弹难持续。需求出现走弱迹象，导致库存再度累计，与此同时，进口锌锭流入现货市场，基本面的疲弱表现，对沪锌走势形成打压。预计短期锌价将维持偏弱运行，后期下行压力仍存。</w:t>
            </w:r>
            <w:r>
              <w:rPr>
                <w:rFonts w:ascii="Calibri" w:hAnsi="Calibri" w:eastAsia="楷体" w:cs="Calibri"/>
                <w:color w:val="000000"/>
                <w:sz w:val="18"/>
                <w:szCs w:val="18"/>
              </w:rPr>
              <w:t>（李小薇）</w:t>
            </w:r>
          </w:p>
          <w:p>
            <w:pPr>
              <w:widowControl/>
              <w:spacing w:before="62" w:beforeLines="20" w:after="156" w:line="240" w:lineRule="exact"/>
              <w:ind w:left="210" w:leftChars="100"/>
              <w:rPr>
                <w:rFonts w:ascii="Calibri" w:hAnsi="Calibri" w:eastAsia="楷体" w:cs="Calibri"/>
                <w:color w:val="000000"/>
                <w:sz w:val="18"/>
                <w:szCs w:val="18"/>
              </w:rPr>
            </w:pPr>
            <w:r>
              <w:rPr>
                <w:rFonts w:ascii="Calibri" w:hAnsi="Calibri" w:eastAsia="楷体" w:cs="Calibri"/>
                <w:b/>
                <w:color w:val="C00000"/>
                <w:sz w:val="18"/>
                <w:szCs w:val="18"/>
              </w:rPr>
              <w:t>铅：</w:t>
            </w:r>
            <w:r>
              <w:rPr>
                <w:rFonts w:hint="eastAsia" w:ascii="Calibri" w:hAnsi="Calibri" w:eastAsia="楷体" w:cs="Calibri"/>
                <w:color w:val="000000"/>
                <w:sz w:val="18"/>
                <w:szCs w:val="18"/>
              </w:rPr>
              <w:t>近期，河北、江西等地区部分再生精铅炼厂正在复工过程中，预期7月份铅锭供应将有所增加，但是考虑到环保等因素导致还原铅炼厂复工的不确定性，精铅产量增长或有限。市场对于7月份终端电池市场的需求有改善预期，电池旺季的到来有望进一步释放铅市需求，提振铅价。目前基本面无亮点情况下，保持震荡思路为宜。</w:t>
            </w:r>
            <w:r>
              <w:rPr>
                <w:rFonts w:ascii="Calibri" w:hAnsi="Calibri" w:eastAsia="楷体" w:cs="Calibri"/>
                <w:color w:val="000000"/>
                <w:sz w:val="18"/>
                <w:szCs w:val="18"/>
              </w:rPr>
              <w:t>（李小薇）</w:t>
            </w:r>
          </w:p>
          <w:p>
            <w:pPr>
              <w:widowControl/>
              <w:spacing w:before="62" w:beforeLines="20" w:after="156" w:line="240" w:lineRule="exact"/>
              <w:ind w:left="210" w:leftChars="100"/>
              <w:rPr>
                <w:rFonts w:ascii="Calibri" w:hAnsi="Calibri" w:eastAsia="楷体" w:cs="Calibri"/>
                <w:color w:val="000000"/>
                <w:sz w:val="18"/>
                <w:szCs w:val="18"/>
              </w:rPr>
            </w:pPr>
            <w:r>
              <w:rPr>
                <w:rFonts w:ascii="Calibri" w:hAnsi="Calibri" w:eastAsia="楷体" w:cs="Calibri"/>
                <w:b/>
                <w:color w:val="C00000"/>
                <w:sz w:val="18"/>
                <w:szCs w:val="18"/>
              </w:rPr>
              <w:t>甲醇：</w:t>
            </w:r>
            <w:r>
              <w:rPr>
                <w:rFonts w:hint="eastAsia" w:ascii="Calibri" w:hAnsi="Calibri" w:eastAsia="楷体" w:cs="Calibri"/>
                <w:color w:val="000000"/>
                <w:sz w:val="18"/>
                <w:szCs w:val="18"/>
              </w:rPr>
              <w:t>甲醇多空交织，无明显的趋势线机会，短期受成本支撑处于强势，仍处于震荡区间。操作上，甲醇1901维持（2700,3000）区间看法，后期反弹沽空操作，整体维持区间震荡走势。9月份之后或有上涨机会，仍需等待。</w:t>
            </w:r>
            <w:r>
              <w:rPr>
                <w:rFonts w:ascii="Calibri" w:hAnsi="Calibri" w:eastAsia="楷体" w:cs="Calibri"/>
                <w:color w:val="000000"/>
                <w:sz w:val="18"/>
                <w:szCs w:val="18"/>
              </w:rPr>
              <w:t>（卢时强）</w:t>
            </w:r>
          </w:p>
          <w:p>
            <w:pPr>
              <w:widowControl/>
              <w:spacing w:before="62" w:beforeLines="20" w:after="156" w:line="240" w:lineRule="exact"/>
              <w:ind w:left="210" w:leftChars="100"/>
              <w:rPr>
                <w:rFonts w:ascii="Calibri" w:hAnsi="Calibri" w:eastAsia="楷体" w:cs="Calibri"/>
                <w:color w:val="000000"/>
                <w:sz w:val="18"/>
                <w:szCs w:val="18"/>
              </w:rPr>
            </w:pPr>
            <w:r>
              <w:rPr>
                <w:rFonts w:ascii="Calibri" w:hAnsi="Calibri" w:eastAsia="楷体" w:cs="Calibri"/>
                <w:b/>
                <w:color w:val="C00000"/>
                <w:sz w:val="18"/>
                <w:szCs w:val="18"/>
              </w:rPr>
              <w:t>橡胶：</w:t>
            </w:r>
            <w:r>
              <w:rPr>
                <w:rFonts w:ascii="Calibri" w:hAnsi="Calibri" w:eastAsia="楷体" w:cs="Calibri"/>
                <w:color w:val="000000"/>
                <w:sz w:val="18"/>
                <w:szCs w:val="18"/>
              </w:rPr>
              <w:t></w:t>
            </w:r>
            <w:r>
              <w:rPr>
                <w:rFonts w:hint="eastAsia" w:ascii="Calibri" w:hAnsi="Calibri" w:eastAsia="楷体" w:cs="Calibri"/>
                <w:color w:val="000000"/>
                <w:sz w:val="18"/>
                <w:szCs w:val="18"/>
              </w:rPr>
              <w:t>20号胶计划上市的消息对沪胶造成冲击，叠加大宗商品悲观情绪导致盘面超跌，但不排除跌无可跌令做空动能衰竭，短线存在超跌反弹的可能。目前沪胶运行于成本线下方，关注底部10000整数大关的支撑。橡胶维持中长期趋势震荡筑底观点，建议急涨勿追，逢高沽空。</w:t>
            </w:r>
            <w:r>
              <w:rPr>
                <w:rFonts w:ascii="Calibri" w:hAnsi="Calibri" w:eastAsia="楷体" w:cs="Calibri"/>
                <w:color w:val="000000"/>
                <w:sz w:val="18"/>
                <w:szCs w:val="18"/>
              </w:rPr>
              <w:t>（刘绅）</w:t>
            </w:r>
          </w:p>
          <w:p>
            <w:pPr>
              <w:widowControl/>
              <w:spacing w:before="62" w:beforeLines="20" w:after="156" w:line="240" w:lineRule="exact"/>
              <w:ind w:left="210" w:leftChars="100"/>
              <w:rPr>
                <w:rFonts w:ascii="Calibri" w:hAnsi="Calibri" w:eastAsia="楷体" w:cs="Calibri"/>
                <w:color w:val="000000"/>
                <w:sz w:val="18"/>
                <w:szCs w:val="18"/>
              </w:rPr>
            </w:pPr>
            <w:r>
              <w:rPr>
                <w:rFonts w:hint="eastAsia" w:ascii="Calibri" w:hAnsi="Calibri" w:eastAsia="楷体" w:cs="Calibri"/>
                <w:b/>
                <w:color w:val="C00000"/>
                <w:sz w:val="18"/>
                <w:szCs w:val="18"/>
              </w:rPr>
              <w:t>P</w:t>
            </w:r>
            <w:r>
              <w:rPr>
                <w:rFonts w:ascii="Calibri" w:hAnsi="Calibri" w:eastAsia="楷体" w:cs="Calibri"/>
                <w:b/>
                <w:color w:val="C00000"/>
                <w:sz w:val="18"/>
                <w:szCs w:val="18"/>
              </w:rPr>
              <w:t>TA</w:t>
            </w:r>
            <w:r>
              <w:rPr>
                <w:rFonts w:hint="eastAsia" w:ascii="Calibri" w:hAnsi="Calibri" w:eastAsia="楷体" w:cs="Calibri"/>
                <w:b/>
                <w:color w:val="C00000"/>
                <w:sz w:val="18"/>
                <w:szCs w:val="18"/>
              </w:rPr>
              <w:t>：</w:t>
            </w:r>
            <w:r>
              <w:rPr>
                <w:rFonts w:hint="eastAsia" w:ascii="Calibri" w:hAnsi="Calibri" w:eastAsia="楷体" w:cs="Calibri"/>
                <w:color w:val="000000"/>
                <w:sz w:val="18"/>
                <w:szCs w:val="18"/>
              </w:rPr>
              <w:t>后市PTA或将开启新一轮上涨行情，1809合约可轻仓试多，或轻仓参与9-1合约的正向套利。（姜云超）</w:t>
            </w:r>
          </w:p>
          <w:p>
            <w:pPr>
              <w:widowControl/>
              <w:spacing w:before="62" w:beforeLines="20" w:after="156" w:line="240" w:lineRule="exact"/>
              <w:ind w:left="210" w:leftChars="100"/>
              <w:rPr>
                <w:rFonts w:ascii="Calibri" w:hAnsi="Calibri" w:eastAsia="楷体" w:cs="Calibri"/>
                <w:color w:val="000000"/>
                <w:sz w:val="18"/>
                <w:szCs w:val="18"/>
              </w:rPr>
            </w:pPr>
            <w:r>
              <w:rPr>
                <w:rFonts w:hint="eastAsia" w:ascii="Calibri" w:hAnsi="Calibri" w:eastAsia="楷体" w:cs="Calibri"/>
                <w:b/>
                <w:color w:val="C00000"/>
                <w:sz w:val="18"/>
                <w:szCs w:val="18"/>
              </w:rPr>
              <w:t>动力煤：</w:t>
            </w:r>
            <w:r>
              <w:rPr>
                <w:rFonts w:hint="eastAsia" w:ascii="Calibri" w:hAnsi="Calibri" w:eastAsia="楷体" w:cs="Calibri"/>
                <w:color w:val="000000"/>
                <w:sz w:val="18"/>
                <w:szCs w:val="18"/>
              </w:rPr>
              <w:t>近期供需因素博弈，现货价格处于供需平衡形成过程中，但是基差持续贴水会使得期货价格以震荡偏多为主，建议观望为主。套利方面关注1-5正套机会。（姜云超）</w:t>
            </w:r>
          </w:p>
          <w:p>
            <w:pPr>
              <w:widowControl/>
              <w:spacing w:before="62" w:beforeLines="20" w:after="156" w:line="240" w:lineRule="exact"/>
              <w:ind w:left="210" w:leftChars="100"/>
              <w:rPr>
                <w:rFonts w:ascii="Calibri" w:hAnsi="Calibri" w:eastAsia="楷体" w:cs="Calibri"/>
                <w:color w:val="000000"/>
                <w:sz w:val="18"/>
                <w:szCs w:val="18"/>
              </w:rPr>
            </w:pPr>
            <w:r>
              <w:rPr>
                <w:rFonts w:ascii="Calibri" w:hAnsi="Calibri" w:eastAsia="楷体" w:cs="Calibri"/>
                <w:b/>
                <w:color w:val="C00000"/>
                <w:sz w:val="18"/>
                <w:szCs w:val="18"/>
              </w:rPr>
              <w:t>油脂油料：</w:t>
            </w:r>
            <w:r>
              <w:rPr>
                <w:rFonts w:hint="eastAsia" w:ascii="Calibri" w:hAnsi="Calibri" w:eastAsia="楷体" w:cs="Calibri"/>
                <w:color w:val="000000"/>
                <w:sz w:val="18"/>
                <w:szCs w:val="18"/>
              </w:rPr>
              <w:t>饲料需求企业和贸易商可以适当增加豆粕库存，期货投资者可以保持震荡思路适量建立大豆和粕类多单，油脂市场反弹潜力不足，可继续观望或盘中短线快进快出。</w:t>
            </w:r>
            <w:r>
              <w:rPr>
                <w:rFonts w:ascii="Calibri" w:hAnsi="Calibri" w:eastAsia="楷体" w:cs="Calibri"/>
                <w:color w:val="000000"/>
                <w:sz w:val="18"/>
                <w:szCs w:val="18"/>
              </w:rPr>
              <w:t>（于瑞光）</w:t>
            </w:r>
          </w:p>
          <w:p>
            <w:pPr>
              <w:spacing w:before="62" w:beforeLines="20" w:after="156" w:line="240" w:lineRule="exact"/>
              <w:ind w:left="210" w:leftChars="100"/>
              <w:rPr>
                <w:rFonts w:ascii="Calibri" w:hAnsi="Calibri" w:eastAsia="楷体" w:cs="Calibri"/>
                <w:color w:val="000000"/>
                <w:sz w:val="18"/>
                <w:szCs w:val="18"/>
              </w:rPr>
            </w:pPr>
            <w:r>
              <w:rPr>
                <w:rFonts w:ascii="Calibri" w:hAnsi="Calibri" w:eastAsia="楷体" w:cs="Calibri"/>
                <w:b/>
                <w:color w:val="C00000"/>
                <w:sz w:val="18"/>
                <w:szCs w:val="18"/>
              </w:rPr>
              <w:t>白糖：</w:t>
            </w:r>
            <w:r>
              <w:rPr>
                <w:rFonts w:hint="eastAsia" w:ascii="Calibri" w:hAnsi="Calibri" w:eastAsia="楷体" w:cs="Calibri"/>
                <w:color w:val="000000"/>
                <w:sz w:val="18"/>
                <w:szCs w:val="18"/>
              </w:rPr>
              <w:t>操作上，国内现货依然坚挺，但成交情况较差，后期sr901有望跌破4900，前期空单继续持有，逢高沽空。</w:t>
            </w:r>
            <w:r>
              <w:rPr>
                <w:rFonts w:ascii="Calibri" w:hAnsi="Calibri" w:eastAsia="楷体" w:cs="Calibri"/>
                <w:color w:val="000000"/>
                <w:sz w:val="18"/>
                <w:szCs w:val="18"/>
              </w:rPr>
              <w:t>（卢时强）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83" w:hRule="atLeast"/>
          <w:jc w:val="center"/>
        </w:trPr>
        <w:tc>
          <w:tcPr>
            <w:tcW w:w="2694" w:type="dxa"/>
            <w:vAlign w:val="top"/>
          </w:tcPr>
          <w:p>
            <w:pPr>
              <w:widowControl/>
              <w:spacing w:before="156" w:after="0" w:afterLines="0"/>
              <w:ind w:left="210" w:leftChars="100"/>
              <w:jc w:val="left"/>
              <w:rPr>
                <w:rFonts w:ascii="Calibri" w:hAnsi="Calibri" w:eastAsia="楷体" w:cs="Calibri"/>
                <w:b/>
                <w:sz w:val="20"/>
              </w:rPr>
            </w:pPr>
            <w:r>
              <w:rPr>
                <w:rFonts w:ascii="Calibri" w:hAnsi="Calibri" w:eastAsia="楷体" w:cs="Calibri"/>
                <w:b/>
                <w:color w:val="002060"/>
                <w:sz w:val="20"/>
              </w:rPr>
              <w:t>宏观股指</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张伟</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从业资格号：F0251993</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0755 - 82912597</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zhangwei@tqfutures.com</w:t>
            </w:r>
          </w:p>
          <w:p>
            <w:pPr>
              <w:widowControl/>
              <w:spacing w:before="156" w:after="0" w:afterLines="0"/>
              <w:ind w:left="210" w:leftChars="100"/>
              <w:jc w:val="left"/>
              <w:rPr>
                <w:rFonts w:ascii="Calibri" w:hAnsi="Calibri" w:eastAsia="楷体" w:cs="Calibri"/>
                <w:b/>
                <w:color w:val="002060"/>
                <w:sz w:val="20"/>
              </w:rPr>
            </w:pPr>
            <w:r>
              <w:rPr>
                <w:rFonts w:ascii="Calibri" w:hAnsi="Calibri" w:eastAsia="楷体" w:cs="Calibri"/>
                <w:b/>
                <w:color w:val="002060"/>
                <w:sz w:val="20"/>
              </w:rPr>
              <w:t>黑色金属</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王万超</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从业资格号：F0290005</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0755 - 82918032</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wangwanchao@tqfutures.com</w:t>
            </w:r>
          </w:p>
          <w:p>
            <w:pPr>
              <w:widowControl/>
              <w:spacing w:before="156" w:after="0" w:afterLines="0"/>
              <w:ind w:left="210" w:leftChars="100"/>
              <w:jc w:val="left"/>
              <w:rPr>
                <w:rFonts w:ascii="Calibri" w:hAnsi="Calibri" w:eastAsia="楷体" w:cs="Calibri"/>
                <w:b/>
                <w:color w:val="002060"/>
                <w:sz w:val="20"/>
              </w:rPr>
            </w:pPr>
            <w:r>
              <w:rPr>
                <w:rFonts w:ascii="Calibri" w:hAnsi="Calibri" w:eastAsia="楷体" w:cs="Calibri"/>
                <w:b/>
                <w:color w:val="002060"/>
                <w:sz w:val="20"/>
              </w:rPr>
              <w:t>贵金属</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张磊</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从业资格号：F3000083</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0755 - 82890261</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zhanglei2@tqfutures.com</w:t>
            </w:r>
          </w:p>
          <w:p>
            <w:pPr>
              <w:widowControl/>
              <w:spacing w:before="156" w:after="0" w:afterLines="0"/>
              <w:ind w:left="210" w:leftChars="100"/>
              <w:jc w:val="left"/>
              <w:rPr>
                <w:rFonts w:ascii="Calibri" w:hAnsi="Calibri" w:eastAsia="楷体" w:cs="Calibri"/>
                <w:b/>
                <w:color w:val="002060"/>
                <w:sz w:val="20"/>
              </w:rPr>
            </w:pPr>
            <w:r>
              <w:rPr>
                <w:rFonts w:ascii="Calibri" w:hAnsi="Calibri" w:eastAsia="楷体" w:cs="Calibri"/>
                <w:b/>
                <w:color w:val="002060"/>
                <w:sz w:val="20"/>
              </w:rPr>
              <w:t>有色金属</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李小薇</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从业资格号：F0270867</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021 - 61601516</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lixiaowei@tqfutures.com</w:t>
            </w:r>
          </w:p>
          <w:p>
            <w:pPr>
              <w:widowControl/>
              <w:spacing w:before="156" w:after="0" w:afterLines="0"/>
              <w:ind w:left="210" w:leftChars="100"/>
              <w:jc w:val="left"/>
              <w:rPr>
                <w:rFonts w:ascii="Calibri" w:hAnsi="Calibri" w:eastAsia="楷体" w:cs="Calibri"/>
                <w:b/>
                <w:color w:val="002060"/>
                <w:sz w:val="20"/>
              </w:rPr>
            </w:pPr>
            <w:r>
              <w:rPr>
                <w:rFonts w:ascii="Calibri" w:hAnsi="Calibri" w:eastAsia="楷体" w:cs="Calibri"/>
                <w:b/>
                <w:color w:val="002060"/>
                <w:sz w:val="20"/>
              </w:rPr>
              <w:t>农产品</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于瑞光</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从业资格号：F0231832</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0451 - 86489905</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yuruiguang@tqfutures.com</w:t>
            </w:r>
          </w:p>
          <w:p>
            <w:pPr>
              <w:widowControl/>
              <w:spacing w:before="156" w:after="0" w:afterLines="0" w:line="240" w:lineRule="exact"/>
              <w:ind w:left="420" w:leftChars="200"/>
              <w:jc w:val="left"/>
              <w:rPr>
                <w:rFonts w:ascii="Calibri" w:hAnsi="Calibri" w:eastAsia="楷体" w:cs="Calibri"/>
                <w:sz w:val="16"/>
              </w:rPr>
            </w:pPr>
            <w:r>
              <w:rPr>
                <w:rFonts w:ascii="Calibri" w:hAnsi="Calibri" w:eastAsia="楷体" w:cs="Calibri"/>
                <w:sz w:val="16"/>
              </w:rPr>
              <w:t>卢时强</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从业资格号：F0282412</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0755 - 83558316</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lushiqiang@tqfutures.com</w:t>
            </w:r>
          </w:p>
          <w:p>
            <w:pPr>
              <w:widowControl/>
              <w:spacing w:before="156" w:after="0" w:afterLines="0"/>
              <w:ind w:left="210" w:leftChars="100"/>
              <w:jc w:val="left"/>
              <w:rPr>
                <w:rFonts w:ascii="Calibri" w:hAnsi="Calibri" w:eastAsia="楷体" w:cs="Calibri"/>
                <w:b/>
                <w:color w:val="002060"/>
                <w:sz w:val="20"/>
              </w:rPr>
            </w:pPr>
            <w:r>
              <w:rPr>
                <w:rFonts w:ascii="Calibri" w:hAnsi="Calibri" w:eastAsia="楷体" w:cs="Calibri"/>
                <w:b/>
                <w:color w:val="002060"/>
                <w:sz w:val="20"/>
              </w:rPr>
              <w:t>能源化工</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刘绅</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从业资格号：F3041660</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0755 - 83558169</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liushen@tqfutures.com</w:t>
            </w:r>
          </w:p>
          <w:p>
            <w:pPr>
              <w:widowControl/>
              <w:spacing w:before="156" w:after="0" w:afterLines="0" w:line="240" w:lineRule="exact"/>
              <w:ind w:left="420" w:leftChars="200"/>
              <w:jc w:val="left"/>
              <w:rPr>
                <w:rFonts w:ascii="Calibri" w:hAnsi="Calibri" w:eastAsia="楷体" w:cs="Calibri"/>
                <w:sz w:val="16"/>
              </w:rPr>
            </w:pPr>
            <w:r>
              <w:rPr>
                <w:rFonts w:ascii="Calibri" w:hAnsi="Calibri" w:eastAsia="楷体" w:cs="Calibri"/>
                <w:sz w:val="16"/>
              </w:rPr>
              <w:t>姜云超</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从业资格号：F3043160</w:t>
            </w:r>
          </w:p>
          <w:p>
            <w:pPr>
              <w:widowControl/>
              <w:spacing w:before="0" w:beforeLines="0" w:after="0" w:afterLines="0" w:line="240" w:lineRule="exact"/>
              <w:ind w:left="420" w:leftChars="200"/>
              <w:jc w:val="left"/>
              <w:rPr>
                <w:rFonts w:ascii="Calibri" w:hAnsi="Calibri" w:eastAsia="楷体" w:cs="Calibri"/>
                <w:sz w:val="16"/>
              </w:rPr>
            </w:pPr>
            <w:r>
              <w:rPr>
                <w:rFonts w:ascii="Calibri" w:hAnsi="Calibri" w:eastAsia="楷体" w:cs="Calibri"/>
                <w:sz w:val="16"/>
              </w:rPr>
              <w:t>0755 - 82918648</w:t>
            </w:r>
          </w:p>
          <w:p>
            <w:pPr>
              <w:widowControl/>
              <w:spacing w:before="0" w:beforeLines="0" w:after="0" w:afterLines="0" w:line="240" w:lineRule="exact"/>
              <w:ind w:left="420" w:leftChars="200"/>
              <w:jc w:val="left"/>
              <w:rPr>
                <w:rFonts w:ascii="Calibri" w:hAnsi="Calibri" w:eastAsia="楷体" w:cs="Calibri"/>
                <w:sz w:val="15"/>
              </w:rPr>
            </w:pPr>
            <w:r>
              <w:rPr>
                <w:rFonts w:ascii="Calibri" w:hAnsi="Calibri" w:eastAsia="楷体" w:cs="Calibri"/>
                <w:sz w:val="16"/>
              </w:rPr>
              <w:t>jiangyunchao@tqfutures.com</w:t>
            </w:r>
          </w:p>
          <w:p>
            <w:pPr>
              <w:widowControl/>
              <w:spacing w:before="0" w:beforeLines="0" w:after="0" w:afterLines="0" w:line="240" w:lineRule="exact"/>
              <w:ind w:left="420" w:leftChars="200"/>
              <w:jc w:val="left"/>
              <w:rPr>
                <w:rFonts w:ascii="Calibri" w:hAnsi="Calibri" w:eastAsia="楷体" w:cs="Calibri"/>
                <w:sz w:val="15"/>
              </w:rPr>
            </w:pPr>
          </w:p>
          <w:p>
            <w:pPr>
              <w:widowControl/>
              <w:spacing w:before="0" w:beforeLines="0" w:after="0" w:afterLines="0" w:line="240" w:lineRule="exact"/>
              <w:jc w:val="left"/>
              <w:rPr>
                <w:rFonts w:ascii="Times New Roman" w:hAnsi="Times New Roman"/>
                <w:sz w:val="16"/>
              </w:rPr>
            </w:pPr>
          </w:p>
        </w:tc>
        <w:tc>
          <w:tcPr>
            <w:tcW w:w="8759" w:type="dxa"/>
            <w:gridSpan w:val="2"/>
            <w:vMerge w:val="continue"/>
            <w:vAlign w:val="top"/>
          </w:tcPr>
          <w:p>
            <w:pPr>
              <w:widowControl/>
              <w:spacing w:before="156" w:after="156"/>
              <w:jc w:val="left"/>
              <w:rPr>
                <w:rFonts w:ascii="Times New Roman" w:hAnsi="Times New Roman" w:eastAsia="华文楷体"/>
                <w:b/>
                <w:color w:val="002060"/>
                <w:sz w:val="28"/>
                <w:szCs w:val="36"/>
              </w:rPr>
            </w:pPr>
          </w:p>
        </w:tc>
      </w:tr>
    </w:tbl>
    <w:p>
      <w:pPr>
        <w:widowControl/>
        <w:spacing w:before="0" w:beforeLines="0" w:after="0" w:afterLines="0"/>
        <w:jc w:val="left"/>
        <w:rPr>
          <w:rFonts w:ascii="Times New Roman" w:hAnsi="Times New Roman"/>
        </w:rPr>
      </w:pPr>
    </w:p>
    <w:p>
      <w:pPr>
        <w:widowControl/>
        <w:spacing w:before="0" w:beforeLines="0" w:after="0" w:afterLines="0"/>
        <w:jc w:val="left"/>
        <w:rPr>
          <w:rFonts w:ascii="Times New Roman" w:hAnsi="Times New Roman"/>
        </w:rPr>
        <w:sectPr>
          <w:headerReference r:id="rId6" w:type="first"/>
          <w:footerReference r:id="rId9" w:type="first"/>
          <w:headerReference r:id="rId4" w:type="default"/>
          <w:footerReference r:id="rId7" w:type="default"/>
          <w:headerReference r:id="rId5" w:type="even"/>
          <w:footerReference r:id="rId8" w:type="even"/>
          <w:pgSz w:w="11906" w:h="16838"/>
          <w:pgMar w:top="232" w:right="232" w:bottom="232" w:left="232" w:header="0" w:footer="0" w:gutter="0"/>
          <w:pgNumType w:fmt="numberInDash"/>
          <w:cols w:space="425" w:num="1"/>
          <w:titlePg/>
          <w:docGrid w:type="lines" w:linePitch="312" w:charSpace="0"/>
        </w:sectPr>
      </w:pP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0" w:name="_Toc518221389"/>
      <w:r>
        <w:rPr>
          <w:rFonts w:hint="eastAsia" w:ascii="楷体" w:hAnsi="楷体" w:eastAsia="楷体" w:cs="黑体"/>
          <w:b/>
          <w:color w:val="C00000"/>
          <w:sz w:val="28"/>
          <w:szCs w:val="32"/>
        </w:rPr>
        <w:t>周度策略：密切关注中美贸易战的落地</w:t>
      </w:r>
      <w:bookmarkEnd w:id="0"/>
    </w:p>
    <w:p>
      <w:pPr>
        <w:spacing w:before="156" w:after="0" w:afterLines="0" w:line="240" w:lineRule="exact"/>
        <w:ind w:left="2415" w:leftChars="1150"/>
        <w:rPr>
          <w:rFonts w:ascii="Calibri" w:hAnsi="Calibri" w:eastAsia="楷体" w:cs="Calibri"/>
        </w:rPr>
      </w:pPr>
      <w:r>
        <w:rPr>
          <w:rFonts w:hint="eastAsia" w:ascii="Calibri" w:hAnsi="Calibri" w:eastAsia="楷体" w:cs="Calibri"/>
        </w:rPr>
        <w:t>本周市场明显反弹。首先是一向不喜欢消停的特朗普再度向趋于平静的原油市场扔进一块大石头，行情再次沸腾起来，特朗普对原油市场的政策导致市场对石油短缺的预期迅速升温，油价再度回到前期高点，带动化工品剧烈反弹，PTA甚至在周三收盘时候一分钟暴涨3%。其次是环保问题，本周仍处于环保政策的高压期，加上黑色系普遍贴水，环保事件不断，黑色系出现强势反弹。另外，本周人民币贬值幅度超过5%，理论上将，有外盘的国内品种被动的上涨5%才是合理的（如本周的铁矿石），这也是市场上涨的主要因素之一。</w:t>
      </w:r>
    </w:p>
    <w:p>
      <w:pPr>
        <w:spacing w:before="156" w:after="0" w:afterLines="0" w:line="240" w:lineRule="exact"/>
        <w:ind w:left="2415" w:leftChars="1150"/>
        <w:rPr>
          <w:rFonts w:ascii="Calibri" w:hAnsi="Calibri" w:eastAsia="楷体" w:cs="Calibri"/>
        </w:rPr>
      </w:pPr>
      <w:r>
        <w:rPr>
          <w:rFonts w:hint="eastAsia" w:ascii="Calibri" w:hAnsi="Calibri" w:eastAsia="楷体" w:cs="Calibri"/>
        </w:rPr>
        <w:t>随着特朗普标榜的7月6日贸易战落地日期临近，贸易战的落地对双方来说无疑是双输格局。因此，贸易战仍是市场走势的最大影响因素，值得重点关注。</w:t>
      </w:r>
    </w:p>
    <w:p>
      <w:pPr>
        <w:spacing w:before="156" w:after="0" w:afterLines="0" w:line="240" w:lineRule="exact"/>
        <w:ind w:left="2415" w:leftChars="1150"/>
        <w:rPr>
          <w:rFonts w:ascii="Calibri" w:hAnsi="Calibri" w:eastAsia="楷体" w:cs="Calibri"/>
        </w:rPr>
      </w:pPr>
      <w:r>
        <w:rPr>
          <w:rFonts w:hint="eastAsia" w:ascii="Calibri" w:hAnsi="Calibri" w:eastAsia="楷体" w:cs="Calibri"/>
        </w:rPr>
        <w:t>从事态上看，贸易战的结局难料，即使最终幅度不大，其中的过程可能也是异常艰辛。目前看贸易战的演化分为两个阶段：即以6月15日为分界点。6月15日前双方协商的热情较高，刘鹤副总理 5 月 20 日赴美谈判的情况来看，中美在扩大美国对华进口方面是可以达成协议的。刘鹤副总理访问美国之际就有中国方面同意向美国采购 2000 亿美元的媒 体报道，虽然后来被我国官方媒体出面否认。但是此后美国财长接受记者访问时明确表示，框架如果落实，美国对华农产品出口今年就能增长 35-40%，3-5 年能源出口翻 倍（达数百亿美元），各个行业均有具体削减赤字目标（不公布），商务部长罗斯将随 后访华谈判落实农产品出口的具体问题。然而，在美国政府内部爆出对协议存在分歧之后，特朗普开会定调拒绝对华软弱，美国的态度随即变得更加强硬，6月15日宣布了对华征税 500 亿的初步计划。财政部长姆努钦改口表示 6 月初商务部长罗斯访华将不只谈判扩大对华出口问题，还涉及“经济结构性的变化。” 几天后，罗斯访问北京的会谈不欢而散并最终未能避免贸易战的爆发。可见中美的分歧已经超越了贸易战的反抽，主要在于中国是否愿意改变政府主导的经济发展的模式，包括取消产业政策，打破市场准入壁垒等等。</w:t>
      </w:r>
    </w:p>
    <w:p>
      <w:pPr>
        <w:spacing w:before="156" w:after="0" w:afterLines="0" w:line="240" w:lineRule="exact"/>
        <w:ind w:left="2415" w:leftChars="1150"/>
        <w:rPr>
          <w:rFonts w:ascii="Calibri" w:hAnsi="Calibri" w:eastAsia="楷体" w:cs="Calibri"/>
        </w:rPr>
      </w:pPr>
      <w:r>
        <w:rPr>
          <w:rFonts w:hint="eastAsia" w:ascii="Calibri" w:hAnsi="Calibri" w:eastAsia="楷体" w:cs="Calibri"/>
        </w:rPr>
        <w:t>上游行业的供需两弱格局越来越明显，这种量变累计到一定程度，必然导致市场出现压力。这一过程比较漫长，正如去年年底我们预测工业品会出现大幅调整以及今年年初指出美股上涨只是融涨行情一样。过程仍较为曲折，但是结果大概率会实现。</w:t>
      </w:r>
    </w:p>
    <w:p>
      <w:pPr>
        <w:spacing w:before="156" w:after="0" w:afterLines="0" w:line="240" w:lineRule="exact"/>
        <w:ind w:left="2415" w:leftChars="1150"/>
        <w:rPr>
          <w:rFonts w:ascii="Calibri" w:hAnsi="Calibri" w:eastAsia="楷体" w:cs="Calibri"/>
        </w:rPr>
      </w:pPr>
      <w:r>
        <w:rPr>
          <w:rFonts w:hint="eastAsia" w:ascii="Calibri" w:hAnsi="Calibri" w:eastAsia="楷体" w:cs="Calibri"/>
        </w:rPr>
        <w:t>再度以黑色为例，以PMI中新订单减产成品库存来表示供求关系，2018年以后螺纹钢开始弱于全部工业PMI，这与2017年5月至12月形成鲜明对比。究其原因，还是要从供需两方面具体看：从供给上看，2018年以来钢厂毛利已经突破1000元/吨，平均净利润也超过600元/吨，实际上已经高于去年平均净利润水平。在高利润的刺激下，即使有环保因素的影响，今年春节后高炉开工率从前两年的“供给侧改革”影响中开始逐步恢复，至今达到71.5%并在年内高点附近稳定；粗钢产量也逐步提升，5月同比增速达到8.9%，比去年底的1.8%提高7.1个百分比。从需求上看，今年以来基建投资增速大幅下滑，1-5月不含电力的基建投资增速只有9.4%，比去年的19%下降9.6个百分点；而从房地产投资增速看，1-5月房地产投资增速为10.2%，比去年的7%上升3.2个百分点。而从房地产新开工面积同比增速看，1-5月为10.8%，比去年的7%上升3.8个百分点；1-5月房地产开发资金来源同比增速为5.1%，比去年的8.2%下降2.9个百分点。这说明，在美联储加息和国内去杠杆的背景下，中国金融市场的流动性持续偏紧，对资金依赖度很高且负债率处于高位的房地产企业也不可避免地受到了影响，非标等融资渠道大幅减少，银行贷款和债券融资亦很困难。而今年以来，房地产企业的拿地热情很高，1-5月土地购置费累计同比为为69.3%，而去年只有23.4%，在国家房地产政策多变的背景下，房地产企业高价拿地后的投资后劲实在是令人担忧</w:t>
      </w:r>
    </w:p>
    <w:p>
      <w:pPr>
        <w:spacing w:before="156" w:after="0" w:afterLines="0" w:line="240" w:lineRule="exact"/>
        <w:ind w:left="2415" w:leftChars="1150"/>
        <w:rPr>
          <w:rFonts w:ascii="Calibri" w:hAnsi="Calibri" w:eastAsia="楷体" w:cs="Calibri"/>
        </w:rPr>
      </w:pPr>
      <w:r>
        <w:rPr>
          <w:rFonts w:hint="eastAsia" w:ascii="Calibri" w:hAnsi="Calibri" w:eastAsia="楷体" w:cs="Calibri"/>
        </w:rPr>
        <w:t>我们认为，目前的黑色系和原油市场（化工品亦跟随受影响）目前并不能称之为一个典型的市场，其特殊性很明显，稳定性更是不足。前者受环保的影响很明显，而目前我们的环保政策的执行规则还不统一；后者受性格乖张的特朗普总统影响极大，其变数更大。因此，投资者可适当等待这两个市场逐渐稳定再参与行情，而没有受到政策影响的品种如有色，软商品等，基本面处于绝对的支配地位。</w:t>
      </w:r>
    </w:p>
    <w:p>
      <w:pPr>
        <w:spacing w:before="156" w:after="0" w:afterLines="0" w:line="240" w:lineRule="exact"/>
        <w:ind w:left="2415" w:leftChars="1150"/>
        <w:rPr>
          <w:rFonts w:ascii="Calibri" w:hAnsi="Calibri" w:eastAsia="楷体" w:cs="Calibri"/>
        </w:rPr>
      </w:pPr>
      <w:r>
        <w:rPr>
          <w:rFonts w:hint="eastAsia" w:ascii="Calibri" w:hAnsi="Calibri" w:eastAsia="楷体" w:cs="Calibri"/>
        </w:rPr>
        <w:t>回归到策略上来。即使环保因素和原油市场剧烈波动，短期内螺纹、煤焦、原油及各类下游品种的价格天花板也是比较容易猜测的。因此，稳健的投资者不妨继续等到行情的演化，在关键值出手胜算很大，如螺纹3900-4000，原油80美元以上位置的抛空机会。对于“常规”品种，按照基本面操作即可。</w:t>
      </w:r>
    </w:p>
    <w:p>
      <w:pPr>
        <w:spacing w:before="156" w:after="0" w:afterLines="0" w:line="240" w:lineRule="exact"/>
        <w:ind w:left="2415" w:leftChars="1150"/>
        <w:rPr>
          <w:rFonts w:ascii="Calibri" w:hAnsi="Calibri" w:eastAsia="楷体" w:cs="Calibri"/>
        </w:rPr>
      </w:pPr>
      <w:r>
        <w:rPr>
          <w:rFonts w:hint="eastAsia" w:ascii="Calibri" w:hAnsi="Calibri" w:eastAsia="楷体" w:cs="Calibri"/>
        </w:rPr>
        <w:t>（研究所张伟）</w:t>
      </w:r>
      <w:r>
        <w:rPr>
          <w:rFonts w:ascii="Calibri" w:hAnsi="Calibri" w:eastAsia="楷体" w:cs="Calibri"/>
        </w:rPr>
        <w:br w:type="page"/>
      </w:r>
    </w:p>
    <w:p>
      <w:pPr>
        <w:pStyle w:val="17"/>
        <w:spacing w:before="156" w:after="156"/>
        <w:jc w:val="center"/>
        <w:rPr>
          <w:rFonts w:ascii="楷体" w:hAnsi="楷体" w:eastAsia="楷体"/>
          <w:color w:val="C00000"/>
          <w:sz w:val="24"/>
          <w:szCs w:val="24"/>
        </w:rPr>
      </w:pPr>
      <w:bookmarkStart w:id="1" w:name="_Toc511512875"/>
      <w:bookmarkStart w:id="2" w:name="_Toc511512987"/>
      <w:bookmarkStart w:id="3" w:name="_Toc511581193"/>
      <w:bookmarkStart w:id="4" w:name="_Toc513394757"/>
      <w:bookmarkStart w:id="5" w:name="_Toc393789638"/>
      <w:r>
        <w:rPr>
          <w:rFonts w:hint="eastAsia" w:ascii="楷体" w:hAnsi="楷体" w:eastAsia="楷体"/>
          <w:color w:val="C00000"/>
          <w:sz w:val="24"/>
          <w:szCs w:val="24"/>
        </w:rPr>
        <w:t>目录</w:t>
      </w:r>
    </w:p>
    <w:p>
      <w:pPr>
        <w:spacing w:before="156" w:after="156"/>
      </w:pP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HYPERLINK  \l "_Toc518221389" </w:instrText>
      </w:r>
      <w:r>
        <w:fldChar w:fldCharType="separate"/>
      </w:r>
      <w:r>
        <w:rPr>
          <w:rStyle w:val="27"/>
          <w:rFonts w:ascii="楷体" w:hAnsi="楷体" w:eastAsia="楷体"/>
        </w:rPr>
        <w:t>周度策略：密切关注中美贸易战的落地</w:t>
      </w:r>
      <w:r>
        <w:tab/>
      </w:r>
      <w:r>
        <w:fldChar w:fldCharType="begin"/>
      </w:r>
      <w:r>
        <w:instrText xml:space="preserve"> PAGEREF _Toc518221389 \h </w:instrText>
      </w:r>
      <w:r>
        <w:fldChar w:fldCharType="separate"/>
      </w:r>
      <w:r>
        <w:t>- 2 -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"_Toc518221390" </w:instrText>
      </w:r>
      <w:r>
        <w:fldChar w:fldCharType="separate"/>
      </w:r>
      <w:r>
        <w:rPr>
          <w:rStyle w:val="27"/>
          <w:rFonts w:ascii="楷体" w:hAnsi="楷体" w:eastAsia="楷体"/>
        </w:rPr>
        <w:t>期货市场概况</w:t>
      </w:r>
      <w:r>
        <w:tab/>
      </w:r>
      <w:r>
        <w:fldChar w:fldCharType="begin"/>
      </w:r>
      <w:r>
        <w:instrText xml:space="preserve"> PAGEREF _Toc518221390 \h </w:instrText>
      </w:r>
      <w:r>
        <w:fldChar w:fldCharType="separate"/>
      </w:r>
      <w:r>
        <w:t>- 5 -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"_Toc518221391" </w:instrText>
      </w:r>
      <w:r>
        <w:fldChar w:fldCharType="separate"/>
      </w:r>
      <w:r>
        <w:rPr>
          <w:rStyle w:val="27"/>
          <w:rFonts w:ascii="楷体" w:hAnsi="楷体" w:eastAsia="楷体"/>
        </w:rPr>
        <w:t>宏观经济、市场策略和股指期货市场分析</w:t>
      </w:r>
      <w:r>
        <w:tab/>
      </w:r>
      <w:r>
        <w:fldChar w:fldCharType="begin"/>
      </w:r>
      <w:r>
        <w:instrText xml:space="preserve"> PAGEREF _Toc518221391 \h </w:instrText>
      </w:r>
      <w:r>
        <w:fldChar w:fldCharType="separate"/>
      </w:r>
      <w:r>
        <w:t>- 6 -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"_Toc518221392" </w:instrText>
      </w:r>
      <w:r>
        <w:fldChar w:fldCharType="separate"/>
      </w:r>
      <w:r>
        <w:rPr>
          <w:rStyle w:val="27"/>
          <w:rFonts w:ascii="楷体" w:hAnsi="楷体" w:eastAsia="楷体"/>
          <w:b/>
        </w:rPr>
        <w:t>1 一周重大宏观政策、事件和数据解读</w:t>
      </w:r>
      <w:r>
        <w:tab/>
      </w:r>
      <w:r>
        <w:fldChar w:fldCharType="begin"/>
      </w:r>
      <w:r>
        <w:instrText xml:space="preserve"> PAGEREF _Toc518221392 \h </w:instrText>
      </w:r>
      <w:r>
        <w:fldChar w:fldCharType="separate"/>
      </w:r>
      <w:r>
        <w:t>- 6 -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"_Toc518221393" </w:instrText>
      </w:r>
      <w:r>
        <w:fldChar w:fldCharType="separate"/>
      </w:r>
      <w:r>
        <w:rPr>
          <w:rStyle w:val="27"/>
          <w:rFonts w:ascii="楷体" w:hAnsi="楷体" w:eastAsia="楷体"/>
          <w:b/>
        </w:rPr>
        <w:t>2 人民币再度大幅贬值概率不大</w:t>
      </w:r>
      <w:r>
        <w:tab/>
      </w:r>
      <w:r>
        <w:fldChar w:fldCharType="begin"/>
      </w:r>
      <w:r>
        <w:instrText xml:space="preserve"> PAGEREF _Toc518221393 \h </w:instrText>
      </w:r>
      <w:r>
        <w:fldChar w:fldCharType="separate"/>
      </w:r>
      <w:r>
        <w:t>- 6 -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"_Toc518221394" </w:instrText>
      </w:r>
      <w:r>
        <w:fldChar w:fldCharType="separate"/>
      </w:r>
      <w:r>
        <w:rPr>
          <w:rStyle w:val="27"/>
          <w:rFonts w:ascii="楷体" w:hAnsi="楷体" w:eastAsia="楷体"/>
          <w:b/>
        </w:rPr>
        <w:t>3 流动性：央行：流动性从“合理稳定”到“合理充裕”</w:t>
      </w:r>
      <w:r>
        <w:tab/>
      </w:r>
      <w:r>
        <w:fldChar w:fldCharType="begin"/>
      </w:r>
      <w:r>
        <w:instrText xml:space="preserve"> PAGEREF _Toc518221394 \h </w:instrText>
      </w:r>
      <w:r>
        <w:fldChar w:fldCharType="separate"/>
      </w:r>
      <w:r>
        <w:t>- 7 -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"_Toc518221395" </w:instrText>
      </w:r>
      <w:r>
        <w:fldChar w:fldCharType="separate"/>
      </w:r>
      <w:r>
        <w:rPr>
          <w:rStyle w:val="27"/>
          <w:rFonts w:ascii="楷体" w:hAnsi="楷体" w:eastAsia="楷体"/>
          <w:b/>
        </w:rPr>
        <w:t>4 商品市场策略</w:t>
      </w:r>
      <w:r>
        <w:tab/>
      </w:r>
      <w:r>
        <w:fldChar w:fldCharType="begin"/>
      </w:r>
      <w:r>
        <w:instrText xml:space="preserve"> PAGEREF _Toc518221395 \h </w:instrText>
      </w:r>
      <w:r>
        <w:fldChar w:fldCharType="separate"/>
      </w:r>
      <w:r>
        <w:t>- 7 -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"_Toc518221396" </w:instrText>
      </w:r>
      <w:r>
        <w:fldChar w:fldCharType="separate"/>
      </w:r>
      <w:r>
        <w:rPr>
          <w:rStyle w:val="27"/>
          <w:rFonts w:ascii="楷体" w:hAnsi="楷体" w:eastAsia="楷体"/>
          <w:b/>
        </w:rPr>
        <w:t>5 股指期货市场分析</w:t>
      </w:r>
      <w:r>
        <w:tab/>
      </w:r>
      <w:r>
        <w:fldChar w:fldCharType="begin"/>
      </w:r>
      <w:r>
        <w:instrText xml:space="preserve"> PAGEREF _Toc518221396 \h </w:instrText>
      </w:r>
      <w:r>
        <w:fldChar w:fldCharType="separate"/>
      </w:r>
      <w:r>
        <w:t>- 7 -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"_Toc518221397" </w:instrText>
      </w:r>
      <w:r>
        <w:fldChar w:fldCharType="separate"/>
      </w:r>
      <w:r>
        <w:rPr>
          <w:rStyle w:val="27"/>
          <w:rFonts w:ascii="楷体" w:hAnsi="楷体" w:eastAsia="楷体"/>
        </w:rPr>
        <w:t>贵金属</w:t>
      </w:r>
      <w:r>
        <w:tab/>
      </w:r>
      <w:r>
        <w:fldChar w:fldCharType="begin"/>
      </w:r>
      <w:r>
        <w:instrText xml:space="preserve"> PAGEREF _Toc518221397 \h </w:instrText>
      </w:r>
      <w:r>
        <w:fldChar w:fldCharType="separate"/>
      </w:r>
      <w:r>
        <w:t>- 10 -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"_Toc518221398" </w:instrText>
      </w:r>
      <w:r>
        <w:fldChar w:fldCharType="separate"/>
      </w:r>
      <w:r>
        <w:rPr>
          <w:rStyle w:val="27"/>
          <w:rFonts w:ascii="楷体" w:hAnsi="楷体" w:eastAsia="楷体"/>
          <w:b/>
        </w:rPr>
        <w:t>1 行情回顾与下周展望</w:t>
      </w:r>
      <w:r>
        <w:tab/>
      </w:r>
      <w:r>
        <w:fldChar w:fldCharType="begin"/>
      </w:r>
      <w:r>
        <w:instrText xml:space="preserve"> PAGEREF _Toc518221398 \h </w:instrText>
      </w:r>
      <w:r>
        <w:fldChar w:fldCharType="separate"/>
      </w:r>
      <w:r>
        <w:t>- 10 -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"_Toc518221399" </w:instrText>
      </w:r>
      <w:r>
        <w:fldChar w:fldCharType="separate"/>
      </w:r>
      <w:r>
        <w:rPr>
          <w:rStyle w:val="27"/>
          <w:rFonts w:ascii="楷体" w:hAnsi="楷体" w:eastAsia="楷体"/>
          <w:b/>
        </w:rPr>
        <w:t>2 下周公布的重要数据</w:t>
      </w:r>
      <w:r>
        <w:tab/>
      </w:r>
      <w:r>
        <w:fldChar w:fldCharType="begin"/>
      </w:r>
      <w:r>
        <w:instrText xml:space="preserve"> PAGEREF _Toc518221399 \h </w:instrText>
      </w:r>
      <w:r>
        <w:fldChar w:fldCharType="separate"/>
      </w:r>
      <w:r>
        <w:t>- 10 -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"_Toc518221400" </w:instrText>
      </w:r>
      <w:r>
        <w:fldChar w:fldCharType="separate"/>
      </w:r>
      <w:r>
        <w:rPr>
          <w:rStyle w:val="27"/>
          <w:rFonts w:ascii="楷体" w:hAnsi="楷体" w:eastAsia="楷体"/>
          <w:b/>
        </w:rPr>
        <w:t>3 持仓情况</w:t>
      </w:r>
      <w:r>
        <w:tab/>
      </w:r>
      <w:r>
        <w:fldChar w:fldCharType="begin"/>
      </w:r>
      <w:r>
        <w:instrText xml:space="preserve"> PAGEREF _Toc518221400 \h </w:instrText>
      </w:r>
      <w:r>
        <w:fldChar w:fldCharType="separate"/>
      </w:r>
      <w:r>
        <w:t>- 11 -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"_Toc518221401" </w:instrText>
      </w:r>
      <w:r>
        <w:fldChar w:fldCharType="separate"/>
      </w:r>
      <w:r>
        <w:rPr>
          <w:rStyle w:val="27"/>
          <w:rFonts w:ascii="楷体" w:hAnsi="楷体" w:eastAsia="楷体"/>
          <w:b/>
        </w:rPr>
        <w:t>4 总结与建议</w:t>
      </w:r>
      <w:r>
        <w:tab/>
      </w:r>
      <w:r>
        <w:fldChar w:fldCharType="begin"/>
      </w:r>
      <w:r>
        <w:instrText xml:space="preserve"> PAGEREF _Toc518221401 \h </w:instrText>
      </w:r>
      <w:r>
        <w:fldChar w:fldCharType="separate"/>
      </w:r>
      <w:r>
        <w:t>- 11 -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"_Toc518221402" </w:instrText>
      </w:r>
      <w:r>
        <w:fldChar w:fldCharType="separate"/>
      </w:r>
      <w:r>
        <w:rPr>
          <w:rStyle w:val="27"/>
          <w:rFonts w:ascii="楷体" w:hAnsi="楷体" w:eastAsia="楷体"/>
        </w:rPr>
        <w:t>铜：维持震荡格局</w:t>
      </w:r>
      <w:r>
        <w:tab/>
      </w:r>
      <w:r>
        <w:fldChar w:fldCharType="begin"/>
      </w:r>
      <w:r>
        <w:instrText xml:space="preserve"> PAGEREF _Toc518221402 \h </w:instrText>
      </w:r>
      <w:r>
        <w:fldChar w:fldCharType="separate"/>
      </w:r>
      <w:r>
        <w:t>- 12 -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"_Toc518221403" </w:instrText>
      </w:r>
      <w:r>
        <w:fldChar w:fldCharType="separate"/>
      </w:r>
      <w:r>
        <w:rPr>
          <w:rStyle w:val="27"/>
          <w:rFonts w:ascii="楷体" w:hAnsi="楷体" w:eastAsia="楷体"/>
          <w:b/>
        </w:rPr>
        <w:t>1 基本面分析</w:t>
      </w:r>
      <w:r>
        <w:tab/>
      </w:r>
      <w:r>
        <w:fldChar w:fldCharType="begin"/>
      </w:r>
      <w:r>
        <w:instrText xml:space="preserve"> PAGEREF _Toc518221403 \h </w:instrText>
      </w:r>
      <w:r>
        <w:fldChar w:fldCharType="separate"/>
      </w:r>
      <w:r>
        <w:t>- 12 -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"_Toc518221404" </w:instrText>
      </w:r>
      <w:r>
        <w:fldChar w:fldCharType="separate"/>
      </w:r>
      <w:r>
        <w:rPr>
          <w:rStyle w:val="27"/>
          <w:rFonts w:ascii="楷体" w:hAnsi="楷体" w:eastAsia="楷体"/>
          <w:b/>
        </w:rPr>
        <w:t>2 供应短缺</w:t>
      </w:r>
      <w:r>
        <w:tab/>
      </w:r>
      <w:r>
        <w:fldChar w:fldCharType="begin"/>
      </w:r>
      <w:r>
        <w:instrText xml:space="preserve"> PAGEREF _Toc518221404 \h </w:instrText>
      </w:r>
      <w:r>
        <w:fldChar w:fldCharType="separate"/>
      </w:r>
      <w:r>
        <w:t>- 13 -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"_Toc518221405" </w:instrText>
      </w:r>
      <w:r>
        <w:fldChar w:fldCharType="separate"/>
      </w:r>
      <w:r>
        <w:rPr>
          <w:rStyle w:val="27"/>
          <w:rFonts w:ascii="楷体" w:hAnsi="楷体" w:eastAsia="楷体"/>
          <w:b/>
        </w:rPr>
        <w:t>3 结论：震荡思路</w:t>
      </w:r>
      <w:r>
        <w:tab/>
      </w:r>
      <w:r>
        <w:fldChar w:fldCharType="begin"/>
      </w:r>
      <w:r>
        <w:instrText xml:space="preserve"> PAGEREF _Toc518221405 \h </w:instrText>
      </w:r>
      <w:r>
        <w:fldChar w:fldCharType="separate"/>
      </w:r>
      <w:r>
        <w:t>- 13 -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"_Toc518221406" </w:instrText>
      </w:r>
      <w:r>
        <w:fldChar w:fldCharType="separate"/>
      </w:r>
      <w:r>
        <w:rPr>
          <w:rStyle w:val="27"/>
          <w:rFonts w:ascii="楷体" w:hAnsi="楷体" w:eastAsia="楷体"/>
          <w:b/>
        </w:rPr>
        <w:t>4 铜期货现货数据</w:t>
      </w:r>
      <w:r>
        <w:tab/>
      </w:r>
      <w:r>
        <w:fldChar w:fldCharType="begin"/>
      </w:r>
      <w:r>
        <w:instrText xml:space="preserve"> PAGEREF _Toc518221406 \h </w:instrText>
      </w:r>
      <w:r>
        <w:fldChar w:fldCharType="separate"/>
      </w:r>
      <w:r>
        <w:t>- 13 -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"_Toc518221407" </w:instrText>
      </w:r>
      <w:r>
        <w:fldChar w:fldCharType="separate"/>
      </w:r>
      <w:r>
        <w:rPr>
          <w:rStyle w:val="27"/>
          <w:rFonts w:ascii="楷体" w:hAnsi="楷体" w:eastAsia="楷体"/>
        </w:rPr>
        <w:t>锌：弱反弹难持续</w:t>
      </w:r>
      <w:r>
        <w:tab/>
      </w:r>
      <w:r>
        <w:fldChar w:fldCharType="begin"/>
      </w:r>
      <w:r>
        <w:instrText xml:space="preserve"> PAGEREF _Toc518221407 \h </w:instrText>
      </w:r>
      <w:r>
        <w:fldChar w:fldCharType="separate"/>
      </w:r>
      <w:r>
        <w:t>- 16 -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"_Toc518221408" </w:instrText>
      </w:r>
      <w:r>
        <w:fldChar w:fldCharType="separate"/>
      </w:r>
      <w:r>
        <w:rPr>
          <w:rStyle w:val="27"/>
          <w:rFonts w:ascii="楷体" w:hAnsi="楷体" w:eastAsia="楷体"/>
          <w:b/>
        </w:rPr>
        <w:t>1 锌：影响因素</w:t>
      </w:r>
      <w:r>
        <w:tab/>
      </w:r>
      <w:r>
        <w:fldChar w:fldCharType="begin"/>
      </w:r>
      <w:r>
        <w:instrText xml:space="preserve"> PAGEREF _Toc518221408 \h </w:instrText>
      </w:r>
      <w:r>
        <w:fldChar w:fldCharType="separate"/>
      </w:r>
      <w:r>
        <w:t>- 16 -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"_Toc518221409" </w:instrText>
      </w:r>
      <w:r>
        <w:fldChar w:fldCharType="separate"/>
      </w:r>
      <w:r>
        <w:rPr>
          <w:rStyle w:val="27"/>
          <w:rFonts w:ascii="楷体" w:hAnsi="楷体" w:eastAsia="楷体"/>
          <w:b/>
        </w:rPr>
        <w:t>2 锌：弱反弹难持续</w:t>
      </w:r>
      <w:r>
        <w:tab/>
      </w:r>
      <w:r>
        <w:fldChar w:fldCharType="begin"/>
      </w:r>
      <w:r>
        <w:instrText xml:space="preserve"> PAGEREF _Toc518221409 \h </w:instrText>
      </w:r>
      <w:r>
        <w:fldChar w:fldCharType="separate"/>
      </w:r>
      <w:r>
        <w:t>- 17 -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"_Toc518221410" </w:instrText>
      </w:r>
      <w:r>
        <w:fldChar w:fldCharType="separate"/>
      </w:r>
      <w:r>
        <w:rPr>
          <w:rStyle w:val="27"/>
          <w:rFonts w:ascii="楷体" w:hAnsi="楷体" w:eastAsia="楷体"/>
          <w:b/>
        </w:rPr>
        <w:t>3 锌期货现货数据</w:t>
      </w:r>
      <w:r>
        <w:tab/>
      </w:r>
      <w:r>
        <w:fldChar w:fldCharType="begin"/>
      </w:r>
      <w:r>
        <w:instrText xml:space="preserve"> PAGEREF _Toc518221410 \h </w:instrText>
      </w:r>
      <w:r>
        <w:fldChar w:fldCharType="separate"/>
      </w:r>
      <w:r>
        <w:t>- 17 -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"_Toc518221411" </w:instrText>
      </w:r>
      <w:r>
        <w:fldChar w:fldCharType="separate"/>
      </w:r>
      <w:r>
        <w:rPr>
          <w:rStyle w:val="27"/>
          <w:rFonts w:ascii="楷体" w:hAnsi="楷体" w:eastAsia="楷体"/>
        </w:rPr>
        <w:t>铅：弱势震荡</w:t>
      </w:r>
      <w:r>
        <w:tab/>
      </w:r>
      <w:r>
        <w:fldChar w:fldCharType="begin"/>
      </w:r>
      <w:r>
        <w:instrText xml:space="preserve"> PAGEREF _Toc518221411 \h </w:instrText>
      </w:r>
      <w:r>
        <w:fldChar w:fldCharType="separate"/>
      </w:r>
      <w:r>
        <w:t>- 19 -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"_Toc518221412" </w:instrText>
      </w:r>
      <w:r>
        <w:fldChar w:fldCharType="separate"/>
      </w:r>
      <w:r>
        <w:rPr>
          <w:rStyle w:val="27"/>
          <w:rFonts w:ascii="楷体" w:hAnsi="楷体" w:eastAsia="楷体"/>
          <w:b/>
        </w:rPr>
        <w:t>1 铅：基本面分析</w:t>
      </w:r>
      <w:r>
        <w:tab/>
      </w:r>
      <w:r>
        <w:fldChar w:fldCharType="begin"/>
      </w:r>
      <w:r>
        <w:instrText xml:space="preserve"> PAGEREF _Toc518221412 \h </w:instrText>
      </w:r>
      <w:r>
        <w:fldChar w:fldCharType="separate"/>
      </w:r>
      <w:r>
        <w:t>- 19 -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"_Toc518221413" </w:instrText>
      </w:r>
      <w:r>
        <w:fldChar w:fldCharType="separate"/>
      </w:r>
      <w:r>
        <w:rPr>
          <w:rStyle w:val="27"/>
          <w:rFonts w:ascii="楷体" w:hAnsi="楷体" w:eastAsia="楷体"/>
          <w:b/>
        </w:rPr>
        <w:t>2 行情展望</w:t>
      </w:r>
      <w:r>
        <w:tab/>
      </w:r>
      <w:r>
        <w:fldChar w:fldCharType="begin"/>
      </w:r>
      <w:r>
        <w:instrText xml:space="preserve"> PAGEREF _Toc518221413 \h </w:instrText>
      </w:r>
      <w:r>
        <w:fldChar w:fldCharType="separate"/>
      </w:r>
      <w:r>
        <w:t>- 20 -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"_Toc518221414" </w:instrText>
      </w:r>
      <w:r>
        <w:fldChar w:fldCharType="separate"/>
      </w:r>
      <w:r>
        <w:rPr>
          <w:rStyle w:val="27"/>
          <w:rFonts w:ascii="楷体" w:hAnsi="楷体" w:eastAsia="楷体"/>
          <w:b/>
        </w:rPr>
        <w:t>3 铅期货现货数据</w:t>
      </w:r>
      <w:r>
        <w:tab/>
      </w:r>
      <w:r>
        <w:fldChar w:fldCharType="begin"/>
      </w:r>
      <w:r>
        <w:instrText xml:space="preserve"> PAGEREF _Toc518221414 \h </w:instrText>
      </w:r>
      <w:r>
        <w:fldChar w:fldCharType="separate"/>
      </w:r>
      <w:r>
        <w:t>- 20 -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"_Toc518221415" </w:instrText>
      </w:r>
      <w:r>
        <w:fldChar w:fldCharType="separate"/>
      </w:r>
      <w:r>
        <w:rPr>
          <w:rStyle w:val="27"/>
          <w:rFonts w:ascii="楷体" w:hAnsi="楷体" w:eastAsia="楷体"/>
        </w:rPr>
        <w:t>黑色金属</w:t>
      </w:r>
      <w:r>
        <w:tab/>
      </w:r>
      <w:r>
        <w:fldChar w:fldCharType="begin"/>
      </w:r>
      <w:r>
        <w:instrText xml:space="preserve"> PAGEREF _Toc518221415 \h </w:instrText>
      </w:r>
      <w:r>
        <w:fldChar w:fldCharType="separate"/>
      </w:r>
      <w:r>
        <w:t>- 22 -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"_Toc518221416" </w:instrText>
      </w:r>
      <w:r>
        <w:fldChar w:fldCharType="separate"/>
      </w:r>
      <w:r>
        <w:rPr>
          <w:rStyle w:val="27"/>
          <w:rFonts w:ascii="楷体" w:hAnsi="楷体" w:eastAsia="楷体"/>
          <w:b/>
        </w:rPr>
        <w:t>1 行情分析</w:t>
      </w:r>
      <w:r>
        <w:tab/>
      </w:r>
      <w:r>
        <w:fldChar w:fldCharType="begin"/>
      </w:r>
      <w:r>
        <w:instrText xml:space="preserve"> PAGEREF _Toc518221416 \h </w:instrText>
      </w:r>
      <w:r>
        <w:fldChar w:fldCharType="separate"/>
      </w:r>
      <w:r>
        <w:t>- 22 -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"_Toc518221417" </w:instrText>
      </w:r>
      <w:r>
        <w:fldChar w:fldCharType="separate"/>
      </w:r>
      <w:r>
        <w:rPr>
          <w:rStyle w:val="27"/>
          <w:rFonts w:ascii="楷体" w:hAnsi="楷体" w:eastAsia="楷体"/>
          <w:b/>
        </w:rPr>
        <w:t>2 供需端：供应平稳，需求转弱</w:t>
      </w:r>
      <w:r>
        <w:tab/>
      </w:r>
      <w:r>
        <w:fldChar w:fldCharType="begin"/>
      </w:r>
      <w:r>
        <w:instrText xml:space="preserve"> PAGEREF _Toc518221417 \h </w:instrText>
      </w:r>
      <w:r>
        <w:fldChar w:fldCharType="separate"/>
      </w:r>
      <w:r>
        <w:t>- 22 -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"_Toc518221418" </w:instrText>
      </w:r>
      <w:r>
        <w:fldChar w:fldCharType="separate"/>
      </w:r>
      <w:r>
        <w:rPr>
          <w:rStyle w:val="27"/>
          <w:rFonts w:ascii="楷体" w:hAnsi="楷体" w:eastAsia="楷体"/>
          <w:b/>
        </w:rPr>
        <w:t>3 原料端：人民币贬值提振矿石价格，焦炭博弈难度增加</w:t>
      </w:r>
      <w:r>
        <w:tab/>
      </w:r>
      <w:r>
        <w:fldChar w:fldCharType="begin"/>
      </w:r>
      <w:r>
        <w:instrText xml:space="preserve"> PAGEREF _Toc518221418 \h </w:instrText>
      </w:r>
      <w:r>
        <w:fldChar w:fldCharType="separate"/>
      </w:r>
      <w:r>
        <w:t>- 23 -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"_Toc518221419" </w:instrText>
      </w:r>
      <w:r>
        <w:fldChar w:fldCharType="separate"/>
      </w:r>
      <w:r>
        <w:rPr>
          <w:rStyle w:val="27"/>
          <w:rFonts w:ascii="楷体" w:hAnsi="楷体" w:eastAsia="楷体"/>
          <w:b/>
        </w:rPr>
        <w:t>4 总结与建议</w:t>
      </w:r>
      <w:r>
        <w:tab/>
      </w:r>
      <w:r>
        <w:fldChar w:fldCharType="begin"/>
      </w:r>
      <w:r>
        <w:instrText xml:space="preserve"> PAGEREF _Toc518221419 \h </w:instrText>
      </w:r>
      <w:r>
        <w:fldChar w:fldCharType="separate"/>
      </w:r>
      <w:r>
        <w:t>- 24 -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"_Toc518221420" </w:instrText>
      </w:r>
      <w:r>
        <w:fldChar w:fldCharType="separate"/>
      </w:r>
      <w:r>
        <w:rPr>
          <w:rStyle w:val="27"/>
          <w:rFonts w:ascii="楷体" w:hAnsi="楷体" w:eastAsia="楷体"/>
        </w:rPr>
        <w:t>甲醇</w:t>
      </w:r>
      <w:r>
        <w:tab/>
      </w:r>
      <w:r>
        <w:fldChar w:fldCharType="begin"/>
      </w:r>
      <w:r>
        <w:instrText xml:space="preserve"> PAGEREF _Toc518221420 \h </w:instrText>
      </w:r>
      <w:r>
        <w:fldChar w:fldCharType="separate"/>
      </w:r>
      <w:r>
        <w:t>- 25 -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"_Toc518221421" </w:instrText>
      </w:r>
      <w:r>
        <w:fldChar w:fldCharType="separate"/>
      </w:r>
      <w:r>
        <w:rPr>
          <w:rStyle w:val="27"/>
          <w:rFonts w:ascii="楷体" w:hAnsi="楷体" w:eastAsia="楷体"/>
          <w:b/>
        </w:rPr>
        <w:t>1 甲醇市场供求分析</w:t>
      </w:r>
      <w:r>
        <w:tab/>
      </w:r>
      <w:r>
        <w:fldChar w:fldCharType="begin"/>
      </w:r>
      <w:r>
        <w:instrText xml:space="preserve"> PAGEREF _Toc518221421 \h </w:instrText>
      </w:r>
      <w:r>
        <w:fldChar w:fldCharType="separate"/>
      </w:r>
      <w:r>
        <w:t>- 25 -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"_Toc518221422" </w:instrText>
      </w:r>
      <w:r>
        <w:fldChar w:fldCharType="separate"/>
      </w:r>
      <w:r>
        <w:rPr>
          <w:rStyle w:val="27"/>
          <w:rFonts w:ascii="楷体" w:hAnsi="楷体" w:eastAsia="楷体"/>
          <w:b/>
        </w:rPr>
        <w:t>2 综合分析</w:t>
      </w:r>
      <w:r>
        <w:tab/>
      </w:r>
      <w:r>
        <w:fldChar w:fldCharType="begin"/>
      </w:r>
      <w:r>
        <w:instrText xml:space="preserve"> PAGEREF _Toc518221422 \h </w:instrText>
      </w:r>
      <w:r>
        <w:fldChar w:fldCharType="separate"/>
      </w:r>
      <w:r>
        <w:t>- 26 -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"_Toc518221423" </w:instrText>
      </w:r>
      <w:r>
        <w:fldChar w:fldCharType="separate"/>
      </w:r>
      <w:r>
        <w:rPr>
          <w:rStyle w:val="27"/>
          <w:rFonts w:ascii="楷体" w:hAnsi="楷体" w:eastAsia="楷体"/>
          <w:b/>
        </w:rPr>
        <w:t>3 甲醇主要数据</w:t>
      </w:r>
      <w:r>
        <w:tab/>
      </w:r>
      <w:r>
        <w:fldChar w:fldCharType="begin"/>
      </w:r>
      <w:r>
        <w:instrText xml:space="preserve"> PAGEREF _Toc518221423 \h </w:instrText>
      </w:r>
      <w:r>
        <w:fldChar w:fldCharType="separate"/>
      </w:r>
      <w:r>
        <w:t>- 26 -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"_Toc518221424" </w:instrText>
      </w:r>
      <w:r>
        <w:fldChar w:fldCharType="separate"/>
      </w:r>
      <w:r>
        <w:rPr>
          <w:rStyle w:val="27"/>
          <w:rFonts w:ascii="楷体" w:hAnsi="楷体" w:eastAsia="楷体"/>
        </w:rPr>
        <w:t>天然橡胶</w:t>
      </w:r>
      <w:r>
        <w:tab/>
      </w:r>
      <w:r>
        <w:fldChar w:fldCharType="begin"/>
      </w:r>
      <w:r>
        <w:instrText xml:space="preserve"> PAGEREF _Toc518221424 \h </w:instrText>
      </w:r>
      <w:r>
        <w:fldChar w:fldCharType="separate"/>
      </w:r>
      <w:r>
        <w:t>- 28 -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"_Toc518221425" </w:instrText>
      </w:r>
      <w:r>
        <w:fldChar w:fldCharType="separate"/>
      </w:r>
      <w:r>
        <w:rPr>
          <w:rStyle w:val="27"/>
          <w:rFonts w:ascii="楷体" w:hAnsi="楷体" w:eastAsia="楷体"/>
          <w:b/>
        </w:rPr>
        <w:t>1 行情回顾</w:t>
      </w:r>
      <w:r>
        <w:tab/>
      </w:r>
      <w:r>
        <w:fldChar w:fldCharType="begin"/>
      </w:r>
      <w:r>
        <w:instrText xml:space="preserve"> PAGEREF _Toc518221425 \h </w:instrText>
      </w:r>
      <w:r>
        <w:fldChar w:fldCharType="separate"/>
      </w:r>
      <w:r>
        <w:t>- 28 -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"_Toc518221426" </w:instrText>
      </w:r>
      <w:r>
        <w:fldChar w:fldCharType="separate"/>
      </w:r>
      <w:r>
        <w:rPr>
          <w:rStyle w:val="27"/>
          <w:rFonts w:ascii="楷体" w:hAnsi="楷体" w:eastAsia="楷体"/>
          <w:b/>
        </w:rPr>
        <w:t>2 基本分析</w:t>
      </w:r>
      <w:r>
        <w:tab/>
      </w:r>
      <w:r>
        <w:fldChar w:fldCharType="begin"/>
      </w:r>
      <w:r>
        <w:instrText xml:space="preserve"> PAGEREF _Toc518221426 \h </w:instrText>
      </w:r>
      <w:r>
        <w:fldChar w:fldCharType="separate"/>
      </w:r>
      <w:r>
        <w:t>- 28 -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"_Toc518221427" </w:instrText>
      </w:r>
      <w:r>
        <w:fldChar w:fldCharType="separate"/>
      </w:r>
      <w:r>
        <w:rPr>
          <w:rStyle w:val="27"/>
          <w:rFonts w:ascii="楷体" w:hAnsi="楷体" w:eastAsia="楷体"/>
          <w:b/>
        </w:rPr>
        <w:t>3 内在逻辑</w:t>
      </w:r>
      <w:r>
        <w:tab/>
      </w:r>
      <w:r>
        <w:fldChar w:fldCharType="begin"/>
      </w:r>
      <w:r>
        <w:instrText xml:space="preserve"> PAGEREF _Toc518221427 \h </w:instrText>
      </w:r>
      <w:r>
        <w:fldChar w:fldCharType="separate"/>
      </w:r>
      <w:r>
        <w:t>- 31 -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"_Toc518221428" </w:instrText>
      </w:r>
      <w:r>
        <w:fldChar w:fldCharType="separate"/>
      </w:r>
      <w:r>
        <w:rPr>
          <w:rStyle w:val="27"/>
          <w:rFonts w:ascii="楷体" w:hAnsi="楷体" w:eastAsia="楷体"/>
          <w:b/>
        </w:rPr>
        <w:t>4 总结建议</w:t>
      </w:r>
      <w:r>
        <w:tab/>
      </w:r>
      <w:r>
        <w:fldChar w:fldCharType="begin"/>
      </w:r>
      <w:r>
        <w:instrText xml:space="preserve"> PAGEREF _Toc518221428 \h </w:instrText>
      </w:r>
      <w:r>
        <w:fldChar w:fldCharType="separate"/>
      </w:r>
      <w:r>
        <w:t>- 32 -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"_Toc518221429" </w:instrText>
      </w:r>
      <w:r>
        <w:fldChar w:fldCharType="separate"/>
      </w:r>
      <w:r>
        <w:rPr>
          <w:rStyle w:val="27"/>
          <w:rFonts w:ascii="楷体" w:hAnsi="楷体" w:eastAsia="楷体"/>
        </w:rPr>
        <w:t>PTA</w:t>
      </w:r>
      <w:r>
        <w:tab/>
      </w:r>
      <w:r>
        <w:fldChar w:fldCharType="begin"/>
      </w:r>
      <w:r>
        <w:instrText xml:space="preserve"> PAGEREF _Toc518221429 \h </w:instrText>
      </w:r>
      <w:r>
        <w:fldChar w:fldCharType="separate"/>
      </w:r>
      <w:r>
        <w:t>- 33 -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"_Toc518221430" </w:instrText>
      </w:r>
      <w:r>
        <w:fldChar w:fldCharType="separate"/>
      </w:r>
      <w:r>
        <w:rPr>
          <w:rStyle w:val="27"/>
          <w:rFonts w:ascii="楷体" w:hAnsi="楷体" w:eastAsia="楷体"/>
          <w:b/>
        </w:rPr>
        <w:t>1 走势回顾</w:t>
      </w:r>
      <w:r>
        <w:tab/>
      </w:r>
      <w:r>
        <w:fldChar w:fldCharType="begin"/>
      </w:r>
      <w:r>
        <w:instrText xml:space="preserve"> PAGEREF _Toc518221430 \h </w:instrText>
      </w:r>
      <w:r>
        <w:fldChar w:fldCharType="separate"/>
      </w:r>
      <w:r>
        <w:t>- 33 -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"_Toc518221431" </w:instrText>
      </w:r>
      <w:r>
        <w:fldChar w:fldCharType="separate"/>
      </w:r>
      <w:r>
        <w:rPr>
          <w:rStyle w:val="27"/>
          <w:rFonts w:ascii="楷体" w:hAnsi="楷体" w:eastAsia="楷体"/>
          <w:b/>
        </w:rPr>
        <w:t>2 基本面分析</w:t>
      </w:r>
      <w:r>
        <w:tab/>
      </w:r>
      <w:r>
        <w:fldChar w:fldCharType="begin"/>
      </w:r>
      <w:r>
        <w:instrText xml:space="preserve"> PAGEREF _Toc518221431 \h </w:instrText>
      </w:r>
      <w:r>
        <w:fldChar w:fldCharType="separate"/>
      </w:r>
      <w:r>
        <w:t>- 33 -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"_Toc518221432" </w:instrText>
      </w:r>
      <w:r>
        <w:fldChar w:fldCharType="separate"/>
      </w:r>
      <w:r>
        <w:rPr>
          <w:rStyle w:val="27"/>
          <w:rFonts w:ascii="楷体" w:hAnsi="楷体" w:eastAsia="楷体"/>
          <w:b/>
        </w:rPr>
        <w:t>3 综合分析</w:t>
      </w:r>
      <w:r>
        <w:tab/>
      </w:r>
      <w:r>
        <w:fldChar w:fldCharType="begin"/>
      </w:r>
      <w:r>
        <w:instrText xml:space="preserve"> PAGEREF _Toc518221432 \h </w:instrText>
      </w:r>
      <w:r>
        <w:fldChar w:fldCharType="separate"/>
      </w:r>
      <w:r>
        <w:t>- 33 -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"_Toc518221433" </w:instrText>
      </w:r>
      <w:r>
        <w:fldChar w:fldCharType="separate"/>
      </w:r>
      <w:r>
        <w:rPr>
          <w:rStyle w:val="27"/>
          <w:rFonts w:ascii="楷体" w:hAnsi="楷体" w:eastAsia="楷体"/>
          <w:b/>
        </w:rPr>
        <w:t>4 期现货数据</w:t>
      </w:r>
      <w:r>
        <w:tab/>
      </w:r>
      <w:r>
        <w:fldChar w:fldCharType="begin"/>
      </w:r>
      <w:r>
        <w:instrText xml:space="preserve"> PAGEREF _Toc518221433 \h </w:instrText>
      </w:r>
      <w:r>
        <w:fldChar w:fldCharType="separate"/>
      </w:r>
      <w:r>
        <w:t>- 34 -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"_Toc518221434" </w:instrText>
      </w:r>
      <w:r>
        <w:fldChar w:fldCharType="separate"/>
      </w:r>
      <w:r>
        <w:rPr>
          <w:rStyle w:val="27"/>
          <w:rFonts w:ascii="楷体" w:hAnsi="楷体" w:eastAsia="楷体"/>
        </w:rPr>
        <w:t>动力煤</w:t>
      </w:r>
      <w:r>
        <w:tab/>
      </w:r>
      <w:r>
        <w:fldChar w:fldCharType="begin"/>
      </w:r>
      <w:r>
        <w:instrText xml:space="preserve"> PAGEREF _Toc518221434 \h </w:instrText>
      </w:r>
      <w:r>
        <w:fldChar w:fldCharType="separate"/>
      </w:r>
      <w:r>
        <w:t>- 35 -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"_Toc518221435" </w:instrText>
      </w:r>
      <w:r>
        <w:fldChar w:fldCharType="separate"/>
      </w:r>
      <w:r>
        <w:rPr>
          <w:rStyle w:val="27"/>
          <w:rFonts w:ascii="楷体" w:hAnsi="楷体" w:eastAsia="楷体"/>
          <w:b/>
        </w:rPr>
        <w:t>1 走势回顾</w:t>
      </w:r>
      <w:r>
        <w:tab/>
      </w:r>
      <w:r>
        <w:fldChar w:fldCharType="begin"/>
      </w:r>
      <w:r>
        <w:instrText xml:space="preserve"> PAGEREF _Toc518221435 \h </w:instrText>
      </w:r>
      <w:r>
        <w:fldChar w:fldCharType="separate"/>
      </w:r>
      <w:r>
        <w:t>- 35 -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"_Toc518221436" </w:instrText>
      </w:r>
      <w:r>
        <w:fldChar w:fldCharType="separate"/>
      </w:r>
      <w:r>
        <w:rPr>
          <w:rStyle w:val="27"/>
          <w:rFonts w:ascii="楷体" w:hAnsi="楷体" w:eastAsia="楷体"/>
          <w:b/>
        </w:rPr>
        <w:t>2 基本面分析</w:t>
      </w:r>
      <w:r>
        <w:tab/>
      </w:r>
      <w:r>
        <w:fldChar w:fldCharType="begin"/>
      </w:r>
      <w:r>
        <w:instrText xml:space="preserve"> PAGEREF _Toc518221436 \h </w:instrText>
      </w:r>
      <w:r>
        <w:fldChar w:fldCharType="separate"/>
      </w:r>
      <w:r>
        <w:t>- 35 -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"_Toc518221437" </w:instrText>
      </w:r>
      <w:r>
        <w:fldChar w:fldCharType="separate"/>
      </w:r>
      <w:r>
        <w:rPr>
          <w:rStyle w:val="27"/>
          <w:rFonts w:ascii="楷体" w:hAnsi="楷体" w:eastAsia="楷体"/>
          <w:b/>
        </w:rPr>
        <w:t>3 综合分析</w:t>
      </w:r>
      <w:r>
        <w:tab/>
      </w:r>
      <w:r>
        <w:fldChar w:fldCharType="begin"/>
      </w:r>
      <w:r>
        <w:instrText xml:space="preserve"> PAGEREF _Toc518221437 \h </w:instrText>
      </w:r>
      <w:r>
        <w:fldChar w:fldCharType="separate"/>
      </w:r>
      <w:r>
        <w:t>- 35 -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"_Toc518221438" </w:instrText>
      </w:r>
      <w:r>
        <w:fldChar w:fldCharType="separate"/>
      </w:r>
      <w:r>
        <w:rPr>
          <w:rStyle w:val="27"/>
          <w:rFonts w:ascii="楷体" w:hAnsi="楷体" w:eastAsia="楷体"/>
          <w:b/>
        </w:rPr>
        <w:t>4 期现货数据</w:t>
      </w:r>
      <w:r>
        <w:tab/>
      </w:r>
      <w:r>
        <w:fldChar w:fldCharType="begin"/>
      </w:r>
      <w:r>
        <w:instrText xml:space="preserve"> PAGEREF _Toc518221438 \h </w:instrText>
      </w:r>
      <w:r>
        <w:fldChar w:fldCharType="separate"/>
      </w:r>
      <w:r>
        <w:t>- 36 -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"_Toc518221439" </w:instrText>
      </w:r>
      <w:r>
        <w:fldChar w:fldCharType="separate"/>
      </w:r>
      <w:r>
        <w:rPr>
          <w:rStyle w:val="27"/>
          <w:rFonts w:ascii="楷体" w:hAnsi="楷体" w:eastAsia="楷体"/>
        </w:rPr>
        <w:t>油脂油料：贸易战模式重启，豆类市场外弱内强分化明显</w:t>
      </w:r>
      <w:r>
        <w:tab/>
      </w:r>
      <w:r>
        <w:fldChar w:fldCharType="begin"/>
      </w:r>
      <w:r>
        <w:instrText xml:space="preserve"> PAGEREF _Toc518221439 \h </w:instrText>
      </w:r>
      <w:r>
        <w:fldChar w:fldCharType="separate"/>
      </w:r>
      <w:r>
        <w:t>- 37 -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"_Toc518221440" </w:instrText>
      </w:r>
      <w:r>
        <w:fldChar w:fldCharType="separate"/>
      </w:r>
      <w:r>
        <w:rPr>
          <w:rStyle w:val="27"/>
          <w:rFonts w:ascii="楷体" w:hAnsi="楷体" w:eastAsia="楷体"/>
          <w:b/>
        </w:rPr>
        <w:t>1 外部豆类市场分析</w:t>
      </w:r>
      <w:r>
        <w:tab/>
      </w:r>
      <w:r>
        <w:fldChar w:fldCharType="begin"/>
      </w:r>
      <w:r>
        <w:instrText xml:space="preserve"> PAGEREF _Toc518221440 \h </w:instrText>
      </w:r>
      <w:r>
        <w:fldChar w:fldCharType="separate"/>
      </w:r>
      <w:r>
        <w:t>- 37 -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"_Toc518221441" </w:instrText>
      </w:r>
      <w:r>
        <w:fldChar w:fldCharType="separate"/>
      </w:r>
      <w:r>
        <w:rPr>
          <w:rStyle w:val="27"/>
          <w:rFonts w:ascii="楷体" w:hAnsi="楷体" w:eastAsia="楷体"/>
          <w:b/>
        </w:rPr>
        <w:t>2 国内油脂油料市场分析</w:t>
      </w:r>
      <w:r>
        <w:tab/>
      </w:r>
      <w:r>
        <w:fldChar w:fldCharType="begin"/>
      </w:r>
      <w:r>
        <w:instrText xml:space="preserve"> PAGEREF _Toc518221441 \h </w:instrText>
      </w:r>
      <w:r>
        <w:fldChar w:fldCharType="separate"/>
      </w:r>
      <w:r>
        <w:t>- 37 -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"_Toc518221442" </w:instrText>
      </w:r>
      <w:r>
        <w:fldChar w:fldCharType="separate"/>
      </w:r>
      <w:r>
        <w:rPr>
          <w:rStyle w:val="27"/>
          <w:rFonts w:ascii="楷体" w:hAnsi="楷体" w:eastAsia="楷体"/>
          <w:b/>
        </w:rPr>
        <w:t>3 油脂油料市场操作建议</w:t>
      </w:r>
      <w:r>
        <w:tab/>
      </w:r>
      <w:r>
        <w:fldChar w:fldCharType="begin"/>
      </w:r>
      <w:r>
        <w:instrText xml:space="preserve"> PAGEREF _Toc518221442 \h </w:instrText>
      </w:r>
      <w:r>
        <w:fldChar w:fldCharType="separate"/>
      </w:r>
      <w:r>
        <w:t>- 38 -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"_Toc518221443" </w:instrText>
      </w:r>
      <w:r>
        <w:fldChar w:fldCharType="separate"/>
      </w:r>
      <w:r>
        <w:rPr>
          <w:rStyle w:val="27"/>
          <w:rFonts w:ascii="楷体" w:hAnsi="楷体" w:eastAsia="楷体"/>
          <w:b/>
        </w:rPr>
        <w:t>4 油脂油料市场主要数据</w:t>
      </w:r>
      <w:r>
        <w:tab/>
      </w:r>
      <w:r>
        <w:fldChar w:fldCharType="begin"/>
      </w:r>
      <w:r>
        <w:instrText xml:space="preserve"> PAGEREF _Toc518221443 \h </w:instrText>
      </w:r>
      <w:r>
        <w:fldChar w:fldCharType="separate"/>
      </w:r>
      <w:r>
        <w:t>- 38 -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"_Toc518221444" </w:instrText>
      </w:r>
      <w:r>
        <w:fldChar w:fldCharType="separate"/>
      </w:r>
      <w:r>
        <w:rPr>
          <w:rStyle w:val="27"/>
          <w:rFonts w:ascii="楷体" w:hAnsi="楷体" w:eastAsia="楷体"/>
        </w:rPr>
        <w:t>白糖</w:t>
      </w:r>
      <w:r>
        <w:tab/>
      </w:r>
      <w:r>
        <w:fldChar w:fldCharType="begin"/>
      </w:r>
      <w:r>
        <w:instrText xml:space="preserve"> PAGEREF _Toc518221444 \h </w:instrText>
      </w:r>
      <w:r>
        <w:fldChar w:fldCharType="separate"/>
      </w:r>
      <w:r>
        <w:t>- 39 -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"_Toc518221445" </w:instrText>
      </w:r>
      <w:r>
        <w:fldChar w:fldCharType="separate"/>
      </w:r>
      <w:r>
        <w:rPr>
          <w:rStyle w:val="27"/>
          <w:rFonts w:ascii="楷体" w:hAnsi="楷体" w:eastAsia="楷体"/>
          <w:b/>
        </w:rPr>
        <w:t>1 白糖市场供求分析</w:t>
      </w:r>
      <w:r>
        <w:tab/>
      </w:r>
      <w:r>
        <w:fldChar w:fldCharType="begin"/>
      </w:r>
      <w:r>
        <w:instrText xml:space="preserve"> PAGEREF _Toc518221445 \h </w:instrText>
      </w:r>
      <w:r>
        <w:fldChar w:fldCharType="separate"/>
      </w:r>
      <w:r>
        <w:t>- 39 -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"_Toc518221446" </w:instrText>
      </w:r>
      <w:r>
        <w:fldChar w:fldCharType="separate"/>
      </w:r>
      <w:r>
        <w:rPr>
          <w:rStyle w:val="27"/>
          <w:rFonts w:ascii="楷体" w:hAnsi="楷体" w:eastAsia="楷体"/>
          <w:b/>
        </w:rPr>
        <w:t>2 综合分析</w:t>
      </w:r>
      <w:r>
        <w:tab/>
      </w:r>
      <w:r>
        <w:fldChar w:fldCharType="begin"/>
      </w:r>
      <w:r>
        <w:instrText xml:space="preserve"> PAGEREF _Toc518221446 \h </w:instrText>
      </w:r>
      <w:r>
        <w:fldChar w:fldCharType="separate"/>
      </w:r>
      <w:r>
        <w:t>- 40 -</w:t>
      </w:r>
      <w:r>
        <w:fldChar w:fldCharType="end"/>
      </w:r>
      <w:r>
        <w:fldChar w:fldCharType="end"/>
      </w:r>
    </w:p>
    <w:p>
      <w:pPr>
        <w:pStyle w:val="21"/>
        <w:tabs>
          <w:tab w:val="right" w:leader="dot" w:pos="10456"/>
        </w:tabs>
        <w:spacing w:before="93" w:beforeLines="30" w:after="93" w:afterLines="30"/>
        <w:rPr>
          <w:rFonts w:eastAsia="宋体" w:cs="黑体"/>
          <w:smallCaps w:val="0"/>
          <w:sz w:val="21"/>
          <w:szCs w:val="22"/>
        </w:rPr>
      </w:pPr>
      <w:r>
        <w:fldChar w:fldCharType="begin"/>
      </w:r>
      <w:r>
        <w:instrText xml:space="preserve">HYPERLINK  \l "_Toc518221447" </w:instrText>
      </w:r>
      <w:r>
        <w:fldChar w:fldCharType="separate"/>
      </w:r>
      <w:r>
        <w:rPr>
          <w:rStyle w:val="27"/>
          <w:rFonts w:ascii="楷体" w:hAnsi="楷体" w:eastAsia="楷体"/>
          <w:b/>
        </w:rPr>
        <w:t>3 白糖市场主要数据</w:t>
      </w:r>
      <w:r>
        <w:tab/>
      </w:r>
      <w:r>
        <w:fldChar w:fldCharType="begin"/>
      </w:r>
      <w:r>
        <w:instrText xml:space="preserve"> PAGEREF _Toc518221447 \h </w:instrText>
      </w:r>
      <w:r>
        <w:fldChar w:fldCharType="separate"/>
      </w:r>
      <w:r>
        <w:t>- 40 -</w:t>
      </w:r>
      <w:r>
        <w:fldChar w:fldCharType="end"/>
      </w:r>
      <w:r>
        <w:fldChar w:fldCharType="end"/>
      </w:r>
    </w:p>
    <w:p>
      <w:pPr>
        <w:pStyle w:val="17"/>
        <w:tabs>
          <w:tab w:val="right" w:leader="dot" w:pos="10456"/>
        </w:tabs>
        <w:spacing w:before="93" w:beforeLines="30" w:after="93" w:afterLines="30"/>
        <w:rPr>
          <w:rFonts w:eastAsia="宋体" w:cs="黑体"/>
          <w:b w:val="0"/>
          <w:bCs w:val="0"/>
          <w:caps w:val="0"/>
          <w:sz w:val="21"/>
          <w:szCs w:val="22"/>
        </w:rPr>
      </w:pPr>
      <w:r>
        <w:fldChar w:fldCharType="begin"/>
      </w:r>
      <w:r>
        <w:instrText xml:space="preserve">HYPERLINK  \l "_Toc518221448" </w:instrText>
      </w:r>
      <w:r>
        <w:fldChar w:fldCharType="separate"/>
      </w:r>
      <w:r>
        <w:rPr>
          <w:rStyle w:val="27"/>
          <w:rFonts w:ascii="楷体" w:hAnsi="楷体" w:eastAsia="楷体"/>
        </w:rPr>
        <w:t>免责条款</w:t>
      </w:r>
      <w:r>
        <w:tab/>
      </w:r>
      <w:r>
        <w:fldChar w:fldCharType="begin"/>
      </w:r>
      <w:r>
        <w:instrText xml:space="preserve"> PAGEREF _Toc518221448 \h </w:instrText>
      </w:r>
      <w:r>
        <w:fldChar w:fldCharType="separate"/>
      </w:r>
      <w:r>
        <w:t>- 42 -</w:t>
      </w:r>
      <w:r>
        <w:fldChar w:fldCharType="end"/>
      </w:r>
      <w:r>
        <w:fldChar w:fldCharType="end"/>
      </w:r>
    </w:p>
    <w:p>
      <w:pPr>
        <w:spacing w:before="93" w:beforeLines="30" w:after="93" w:afterLines="30"/>
        <w:rPr>
          <w:rFonts w:ascii="Calibri" w:hAnsi="Calibri" w:eastAsia="楷体" w:cs="Calibri"/>
        </w:rPr>
      </w:pPr>
      <w:r>
        <w:fldChar w:fldCharType="end"/>
      </w:r>
      <w:r>
        <w:rPr>
          <w:rFonts w:ascii="Calibri" w:hAnsi="Calibri" w:eastAsia="楷体" w:cs="Calibri"/>
        </w:rPr>
        <w:br w:type="page"/>
      </w:r>
    </w:p>
    <w:p>
      <w:pPr>
        <w:widowControl/>
        <w:spacing w:before="312" w:beforeLines="100" w:after="156"/>
        <w:ind w:left="2415" w:leftChars="1150"/>
        <w:jc w:val="left"/>
        <w:outlineLvl w:val="0"/>
        <w:rPr>
          <w:rFonts w:ascii="楷体" w:hAnsi="楷体" w:eastAsia="楷体" w:cs="黑体"/>
          <w:b/>
          <w:color w:val="C00000"/>
          <w:sz w:val="28"/>
          <w:szCs w:val="32"/>
        </w:rPr>
      </w:pPr>
      <w:bookmarkStart w:id="6" w:name="_Toc513901721"/>
      <w:bookmarkStart w:id="7" w:name="_Toc518221390"/>
      <w:r>
        <w:rPr>
          <w:rFonts w:ascii="楷体" w:hAnsi="楷体" w:eastAsia="楷体" w:cs="黑体"/>
          <w:b/>
          <w:color w:val="C00000"/>
          <w:sz w:val="28"/>
          <w:szCs w:val="32"/>
        </w:rPr>
        <w:t>期货市场概况</w:t>
      </w:r>
      <w:bookmarkEnd w:id="1"/>
      <w:bookmarkEnd w:id="2"/>
      <w:bookmarkEnd w:id="3"/>
      <w:bookmarkEnd w:id="4"/>
      <w:bookmarkEnd w:id="6"/>
      <w:bookmarkEnd w:id="7"/>
    </w:p>
    <w:tbl>
      <w:tblPr>
        <w:tblStyle w:val="144"/>
        <w:tblW w:w="10456" w:type="dxa"/>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
      <w:tblGrid>
        <w:gridCol w:w="1045"/>
        <w:gridCol w:w="1045"/>
        <w:gridCol w:w="1045"/>
        <w:gridCol w:w="1045"/>
        <w:gridCol w:w="1046"/>
        <w:gridCol w:w="1046"/>
        <w:gridCol w:w="1046"/>
        <w:gridCol w:w="1046"/>
        <w:gridCol w:w="1046"/>
        <w:gridCol w:w="1046"/>
      </w:tblGrid>
      <w:tr>
        <w:tblPrEx>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Ex>
        <w:trPr>
          <w:trHeight w:val="330" w:hRule="atLeast"/>
        </w:trPr>
        <w:tc>
          <w:tcPr>
            <w:tcW w:w="10456" w:type="dxa"/>
            <w:gridSpan w:val="10"/>
            <w:tcBorders>
              <w:top w:val="single" w:color="C0504D" w:sz="4" w:space="0"/>
              <w:left w:val="single" w:color="C0504D" w:sz="4" w:space="0"/>
              <w:bottom w:val="single" w:color="C0504D" w:sz="4" w:space="0"/>
              <w:right w:val="single" w:color="C0504D" w:sz="4" w:space="0"/>
            </w:tcBorders>
            <w:shd w:val="clear" w:color="auto" w:fill="C0504D"/>
            <w:vAlign w:val="center"/>
          </w:tcPr>
          <w:p>
            <w:pPr>
              <w:spacing w:before="0" w:beforeLines="0" w:after="0" w:afterLines="0"/>
              <w:jc w:val="center"/>
              <w:rPr>
                <w:rFonts w:ascii="Arial" w:hAnsi="Arial" w:eastAsia="楷体" w:cs="Arial"/>
                <w:b w:val="0"/>
                <w:bCs/>
                <w:color w:val="FFFFFF"/>
                <w:sz w:val="15"/>
                <w:szCs w:val="15"/>
              </w:rPr>
            </w:pPr>
            <w:r>
              <w:rPr>
                <w:rFonts w:hint="eastAsia" w:ascii="Arial" w:hAnsi="Arial" w:eastAsia="楷体" w:cs="Arial"/>
                <w:b w:val="0"/>
                <w:bCs/>
                <w:color w:val="FFFFFF"/>
                <w:sz w:val="15"/>
                <w:szCs w:val="15"/>
              </w:rPr>
              <w:t>国内市场涨幅前十</w:t>
            </w:r>
          </w:p>
        </w:tc>
      </w:tr>
      <w:tr>
        <w:tblPrEx>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Ex>
        <w:trPr>
          <w:trHeight w:val="340" w:hRule="atLeast"/>
        </w:trPr>
        <w:tc>
          <w:tcPr>
            <w:tcW w:w="1045" w:type="dxa"/>
            <w:shd w:val="clear" w:color="auto" w:fill="F2DBDB"/>
            <w:vAlign w:val="center"/>
          </w:tcPr>
          <w:p>
            <w:pPr>
              <w:spacing w:before="0" w:beforeLines="0" w:after="0" w:afterLines="0"/>
              <w:jc w:val="center"/>
              <w:rPr>
                <w:rFonts w:ascii="楷体" w:hAnsi="楷体" w:eastAsia="楷体"/>
                <w:b w:val="0"/>
                <w:bCs/>
                <w:sz w:val="15"/>
                <w:szCs w:val="15"/>
              </w:rPr>
            </w:pPr>
            <w:r>
              <w:rPr>
                <w:rFonts w:hint="eastAsia" w:ascii="楷体" w:hAnsi="楷体" w:eastAsia="楷体"/>
                <w:b w:val="0"/>
                <w:bCs/>
                <w:sz w:val="15"/>
              </w:rPr>
              <w:t>原油</w:t>
            </w:r>
          </w:p>
        </w:tc>
        <w:tc>
          <w:tcPr>
            <w:tcW w:w="1045" w:type="dxa"/>
            <w:shd w:val="clear" w:color="auto" w:fill="F2DBDB"/>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硅铁</w:t>
            </w:r>
          </w:p>
        </w:tc>
        <w:tc>
          <w:tcPr>
            <w:tcW w:w="1045" w:type="dxa"/>
            <w:shd w:val="clear" w:color="auto" w:fill="F2DBDB"/>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豆粕</w:t>
            </w:r>
          </w:p>
        </w:tc>
        <w:tc>
          <w:tcPr>
            <w:tcW w:w="1045" w:type="dxa"/>
            <w:shd w:val="clear" w:color="auto" w:fill="F2DBDB"/>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菜粕</w:t>
            </w:r>
          </w:p>
        </w:tc>
        <w:tc>
          <w:tcPr>
            <w:tcW w:w="1046" w:type="dxa"/>
            <w:shd w:val="clear" w:color="auto" w:fill="F2DBDB"/>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PTA</w:t>
            </w:r>
          </w:p>
        </w:tc>
        <w:tc>
          <w:tcPr>
            <w:tcW w:w="1046" w:type="dxa"/>
            <w:shd w:val="clear" w:color="auto" w:fill="F2DBDB"/>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沥青</w:t>
            </w:r>
          </w:p>
        </w:tc>
        <w:tc>
          <w:tcPr>
            <w:tcW w:w="1046" w:type="dxa"/>
            <w:shd w:val="clear" w:color="auto" w:fill="F2DBDB"/>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豆二</w:t>
            </w:r>
          </w:p>
        </w:tc>
        <w:tc>
          <w:tcPr>
            <w:tcW w:w="1046" w:type="dxa"/>
            <w:shd w:val="clear" w:color="auto" w:fill="F2DBDB"/>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铁矿石</w:t>
            </w:r>
          </w:p>
        </w:tc>
        <w:tc>
          <w:tcPr>
            <w:tcW w:w="1046" w:type="dxa"/>
            <w:shd w:val="clear" w:color="auto" w:fill="F2DBDB"/>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甲醇</w:t>
            </w:r>
          </w:p>
        </w:tc>
        <w:tc>
          <w:tcPr>
            <w:tcW w:w="1046" w:type="dxa"/>
            <w:shd w:val="clear" w:color="auto" w:fill="F2DBDB"/>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苹果</w:t>
            </w:r>
          </w:p>
        </w:tc>
      </w:tr>
      <w:tr>
        <w:tblPrEx>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Ex>
        <w:trPr>
          <w:trHeight w:val="340" w:hRule="atLeast"/>
        </w:trPr>
        <w:tc>
          <w:tcPr>
            <w:tcW w:w="1045" w:type="dxa"/>
            <w:vAlign w:val="center"/>
          </w:tcPr>
          <w:p>
            <w:pPr>
              <w:spacing w:before="0" w:beforeLines="0" w:after="0" w:afterLines="0"/>
              <w:jc w:val="center"/>
              <w:rPr>
                <w:rFonts w:ascii="楷体" w:hAnsi="楷体" w:eastAsia="楷体"/>
                <w:b w:val="0"/>
                <w:bCs/>
                <w:sz w:val="15"/>
                <w:szCs w:val="15"/>
              </w:rPr>
            </w:pPr>
            <w:r>
              <w:rPr>
                <w:rFonts w:ascii="楷体" w:hAnsi="楷体" w:eastAsia="楷体"/>
                <w:b w:val="0"/>
                <w:bCs/>
                <w:sz w:val="15"/>
              </w:rPr>
              <w:t>8.18%</w:t>
            </w:r>
          </w:p>
        </w:tc>
        <w:tc>
          <w:tcPr>
            <w:tcW w:w="1045" w:type="dxa"/>
            <w:vAlign w:val="center"/>
          </w:tcPr>
          <w:p>
            <w:pPr>
              <w:spacing w:before="0" w:beforeLines="0" w:after="0" w:afterLines="0"/>
              <w:jc w:val="center"/>
              <w:rPr>
                <w:rFonts w:ascii="楷体" w:hAnsi="楷体" w:eastAsia="楷体"/>
                <w:sz w:val="15"/>
                <w:szCs w:val="15"/>
              </w:rPr>
            </w:pPr>
            <w:r>
              <w:rPr>
                <w:rFonts w:ascii="楷体" w:hAnsi="楷体" w:eastAsia="楷体"/>
                <w:sz w:val="15"/>
              </w:rPr>
              <w:t>6.66%</w:t>
            </w:r>
          </w:p>
        </w:tc>
        <w:tc>
          <w:tcPr>
            <w:tcW w:w="1045" w:type="dxa"/>
            <w:vAlign w:val="center"/>
          </w:tcPr>
          <w:p>
            <w:pPr>
              <w:spacing w:before="0" w:beforeLines="0" w:after="0" w:afterLines="0"/>
              <w:jc w:val="center"/>
              <w:rPr>
                <w:rFonts w:ascii="楷体" w:hAnsi="楷体" w:eastAsia="楷体"/>
                <w:sz w:val="15"/>
                <w:szCs w:val="15"/>
              </w:rPr>
            </w:pPr>
            <w:r>
              <w:rPr>
                <w:rFonts w:ascii="楷体" w:hAnsi="楷体" w:eastAsia="楷体"/>
                <w:sz w:val="15"/>
              </w:rPr>
              <w:t>5.55%</w:t>
            </w:r>
          </w:p>
        </w:tc>
        <w:tc>
          <w:tcPr>
            <w:tcW w:w="1045" w:type="dxa"/>
            <w:vAlign w:val="center"/>
          </w:tcPr>
          <w:p>
            <w:pPr>
              <w:spacing w:before="0" w:beforeLines="0" w:after="0" w:afterLines="0"/>
              <w:jc w:val="center"/>
              <w:rPr>
                <w:rFonts w:ascii="楷体" w:hAnsi="楷体" w:eastAsia="楷体"/>
                <w:sz w:val="15"/>
                <w:szCs w:val="15"/>
              </w:rPr>
            </w:pPr>
            <w:r>
              <w:rPr>
                <w:rFonts w:ascii="楷体" w:hAnsi="楷体" w:eastAsia="楷体"/>
                <w:sz w:val="15"/>
              </w:rPr>
              <w:t>5.50%</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4.80%</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4.78%</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4.37%</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4.18%</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3.80%</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3.75%</w:t>
            </w:r>
          </w:p>
        </w:tc>
      </w:tr>
    </w:tbl>
    <w:p>
      <w:pPr>
        <w:spacing w:before="0" w:beforeLines="0" w:after="0" w:afterLines="0" w:line="0" w:lineRule="atLeast"/>
        <w:rPr>
          <w:rFonts w:ascii="Times New Roman" w:hAnsi="Times New Roman"/>
          <w:b/>
          <w:sz w:val="10"/>
          <w:szCs w:val="10"/>
        </w:rPr>
      </w:pPr>
    </w:p>
    <w:tbl>
      <w:tblPr>
        <w:tblStyle w:val="145"/>
        <w:tblW w:w="10456"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Grid>
        <w:gridCol w:w="1045"/>
        <w:gridCol w:w="1045"/>
        <w:gridCol w:w="1045"/>
        <w:gridCol w:w="1045"/>
        <w:gridCol w:w="1046"/>
        <w:gridCol w:w="1046"/>
        <w:gridCol w:w="1046"/>
        <w:gridCol w:w="1046"/>
        <w:gridCol w:w="1046"/>
        <w:gridCol w:w="1046"/>
      </w:tblGrid>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330" w:hRule="atLeast"/>
        </w:trPr>
        <w:tc>
          <w:tcPr>
            <w:tcW w:w="10456" w:type="dxa"/>
            <w:gridSpan w:val="10"/>
            <w:tcBorders>
              <w:top w:val="single" w:color="9BBB59" w:sz="4" w:space="0"/>
              <w:left w:val="single" w:color="9BBB59" w:sz="4" w:space="0"/>
              <w:bottom w:val="single" w:color="9BBB59" w:sz="4" w:space="0"/>
              <w:right w:val="single" w:color="9BBB59" w:sz="4" w:space="0"/>
            </w:tcBorders>
            <w:shd w:val="clear" w:color="auto" w:fill="9BBB59"/>
            <w:vAlign w:val="center"/>
          </w:tcPr>
          <w:p>
            <w:pPr>
              <w:widowControl/>
              <w:spacing w:before="0" w:beforeLines="0" w:after="0" w:afterLines="0"/>
              <w:jc w:val="center"/>
              <w:rPr>
                <w:rFonts w:ascii="Arial" w:hAnsi="Arial" w:eastAsia="楷体" w:cs="Arial"/>
                <w:b w:val="0"/>
                <w:bCs/>
                <w:color w:val="000000"/>
                <w:kern w:val="0"/>
                <w:sz w:val="15"/>
                <w:szCs w:val="15"/>
              </w:rPr>
            </w:pPr>
            <w:r>
              <w:rPr>
                <w:rFonts w:ascii="Arial" w:hAnsi="Arial" w:eastAsia="楷体" w:cs="Arial"/>
                <w:b w:val="0"/>
                <w:bCs/>
                <w:color w:val="000000"/>
                <w:kern w:val="0"/>
                <w:sz w:val="15"/>
                <w:szCs w:val="15"/>
              </w:rPr>
              <w:t>国内市场跌幅前十</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340" w:hRule="atLeast"/>
        </w:trPr>
        <w:tc>
          <w:tcPr>
            <w:tcW w:w="1045" w:type="dxa"/>
            <w:shd w:val="clear" w:color="auto" w:fill="EAF1DD"/>
            <w:vAlign w:val="top"/>
          </w:tcPr>
          <w:p>
            <w:pPr>
              <w:spacing w:before="0" w:beforeLines="0" w:after="0" w:afterLines="0"/>
              <w:jc w:val="center"/>
              <w:rPr>
                <w:rFonts w:ascii="楷体" w:hAnsi="楷体" w:eastAsia="楷体" w:cs="Arial"/>
                <w:b w:val="0"/>
                <w:bCs/>
                <w:sz w:val="15"/>
                <w:szCs w:val="15"/>
              </w:rPr>
            </w:pPr>
            <w:r>
              <w:rPr>
                <w:rFonts w:hint="eastAsia" w:ascii="楷体" w:hAnsi="楷体" w:eastAsia="楷体"/>
                <w:b w:val="0"/>
                <w:bCs/>
                <w:sz w:val="15"/>
              </w:rPr>
              <w:t>线材</w:t>
            </w:r>
          </w:p>
        </w:tc>
        <w:tc>
          <w:tcPr>
            <w:tcW w:w="1045" w:type="dxa"/>
            <w:shd w:val="clear" w:color="auto" w:fill="EAF1DD"/>
            <w:vAlign w:val="top"/>
          </w:tcPr>
          <w:p>
            <w:pPr>
              <w:spacing w:before="0" w:beforeLines="0" w:after="0" w:afterLines="0"/>
              <w:jc w:val="center"/>
              <w:rPr>
                <w:rFonts w:ascii="楷体" w:hAnsi="楷体" w:eastAsia="楷体" w:cs="Arial"/>
                <w:sz w:val="15"/>
                <w:szCs w:val="15"/>
              </w:rPr>
            </w:pPr>
            <w:r>
              <w:rPr>
                <w:rFonts w:hint="eastAsia" w:ascii="楷体" w:hAnsi="楷体" w:eastAsia="楷体"/>
                <w:sz w:val="15"/>
              </w:rPr>
              <w:t>菜籽</w:t>
            </w:r>
          </w:p>
        </w:tc>
        <w:tc>
          <w:tcPr>
            <w:tcW w:w="1045" w:type="dxa"/>
            <w:shd w:val="clear" w:color="auto" w:fill="EAF1DD"/>
            <w:vAlign w:val="top"/>
          </w:tcPr>
          <w:p>
            <w:pPr>
              <w:spacing w:before="0" w:beforeLines="0" w:after="0" w:afterLines="0"/>
              <w:jc w:val="center"/>
              <w:rPr>
                <w:rFonts w:ascii="楷体" w:hAnsi="楷体" w:eastAsia="楷体" w:cs="Arial"/>
                <w:sz w:val="15"/>
                <w:szCs w:val="15"/>
              </w:rPr>
            </w:pPr>
            <w:r>
              <w:rPr>
                <w:rFonts w:hint="eastAsia" w:ascii="楷体" w:hAnsi="楷体" w:eastAsia="楷体"/>
                <w:sz w:val="15"/>
              </w:rPr>
              <w:t>晚籼稻</w:t>
            </w:r>
          </w:p>
        </w:tc>
        <w:tc>
          <w:tcPr>
            <w:tcW w:w="1045" w:type="dxa"/>
            <w:shd w:val="clear" w:color="auto" w:fill="EAF1DD"/>
            <w:vAlign w:val="top"/>
          </w:tcPr>
          <w:p>
            <w:pPr>
              <w:spacing w:before="0" w:beforeLines="0" w:after="0" w:afterLines="0"/>
              <w:jc w:val="center"/>
              <w:rPr>
                <w:rFonts w:ascii="楷体" w:hAnsi="楷体" w:eastAsia="楷体" w:cs="Arial"/>
                <w:sz w:val="15"/>
                <w:szCs w:val="15"/>
              </w:rPr>
            </w:pPr>
            <w:r>
              <w:rPr>
                <w:rFonts w:hint="eastAsia" w:ascii="楷体" w:hAnsi="楷体" w:eastAsia="楷体"/>
                <w:sz w:val="15"/>
              </w:rPr>
              <w:t>棉花</w:t>
            </w:r>
          </w:p>
        </w:tc>
        <w:tc>
          <w:tcPr>
            <w:tcW w:w="1046" w:type="dxa"/>
            <w:shd w:val="clear" w:color="auto" w:fill="EAF1DD"/>
            <w:vAlign w:val="top"/>
          </w:tcPr>
          <w:p>
            <w:pPr>
              <w:spacing w:before="0" w:beforeLines="0" w:after="0" w:afterLines="0"/>
              <w:jc w:val="center"/>
              <w:rPr>
                <w:rFonts w:ascii="楷体" w:hAnsi="楷体" w:eastAsia="楷体" w:cs="Arial"/>
                <w:sz w:val="15"/>
                <w:szCs w:val="15"/>
              </w:rPr>
            </w:pPr>
            <w:r>
              <w:rPr>
                <w:rFonts w:hint="eastAsia" w:ascii="楷体" w:hAnsi="楷体" w:eastAsia="楷体"/>
                <w:sz w:val="15"/>
              </w:rPr>
              <w:t>锡</w:t>
            </w:r>
          </w:p>
        </w:tc>
        <w:tc>
          <w:tcPr>
            <w:tcW w:w="1046" w:type="dxa"/>
            <w:shd w:val="clear" w:color="auto" w:fill="EAF1DD"/>
            <w:vAlign w:val="top"/>
          </w:tcPr>
          <w:p>
            <w:pPr>
              <w:spacing w:before="0" w:beforeLines="0" w:after="0" w:afterLines="0"/>
              <w:jc w:val="center"/>
              <w:rPr>
                <w:rFonts w:ascii="楷体" w:hAnsi="楷体" w:eastAsia="楷体" w:cs="Arial"/>
                <w:sz w:val="15"/>
                <w:szCs w:val="15"/>
              </w:rPr>
            </w:pPr>
            <w:r>
              <w:rPr>
                <w:rFonts w:hint="eastAsia" w:ascii="楷体" w:hAnsi="楷体" w:eastAsia="楷体"/>
                <w:sz w:val="15"/>
              </w:rPr>
              <w:t>强麦</w:t>
            </w:r>
          </w:p>
        </w:tc>
        <w:tc>
          <w:tcPr>
            <w:tcW w:w="1046" w:type="dxa"/>
            <w:shd w:val="clear" w:color="auto" w:fill="EAF1DD"/>
            <w:vAlign w:val="top"/>
          </w:tcPr>
          <w:p>
            <w:pPr>
              <w:spacing w:before="0" w:beforeLines="0" w:after="0" w:afterLines="0"/>
              <w:jc w:val="center"/>
              <w:rPr>
                <w:rFonts w:ascii="楷体" w:hAnsi="楷体" w:eastAsia="楷体" w:cs="Arial"/>
                <w:sz w:val="15"/>
                <w:szCs w:val="15"/>
              </w:rPr>
            </w:pPr>
            <w:r>
              <w:rPr>
                <w:rFonts w:hint="eastAsia" w:ascii="楷体" w:hAnsi="楷体" w:eastAsia="楷体"/>
                <w:sz w:val="15"/>
              </w:rPr>
              <w:t>棉纱</w:t>
            </w:r>
          </w:p>
        </w:tc>
        <w:tc>
          <w:tcPr>
            <w:tcW w:w="1046" w:type="dxa"/>
            <w:shd w:val="clear" w:color="auto" w:fill="EAF1DD"/>
            <w:vAlign w:val="top"/>
          </w:tcPr>
          <w:p>
            <w:pPr>
              <w:spacing w:before="0" w:beforeLines="0" w:after="0" w:afterLines="0"/>
              <w:jc w:val="center"/>
              <w:rPr>
                <w:rFonts w:ascii="楷体" w:hAnsi="楷体" w:eastAsia="楷体" w:cs="Arial"/>
                <w:sz w:val="15"/>
                <w:szCs w:val="15"/>
              </w:rPr>
            </w:pPr>
            <w:r>
              <w:rPr>
                <w:rFonts w:hint="eastAsia" w:ascii="楷体" w:hAnsi="楷体" w:eastAsia="楷体"/>
                <w:sz w:val="15"/>
              </w:rPr>
              <w:t>铝</w:t>
            </w:r>
          </w:p>
        </w:tc>
        <w:tc>
          <w:tcPr>
            <w:tcW w:w="1046" w:type="dxa"/>
            <w:shd w:val="clear" w:color="auto" w:fill="EAF1DD"/>
            <w:vAlign w:val="top"/>
          </w:tcPr>
          <w:p>
            <w:pPr>
              <w:spacing w:before="0" w:beforeLines="0" w:after="0" w:afterLines="0"/>
              <w:jc w:val="center"/>
              <w:rPr>
                <w:rFonts w:ascii="楷体" w:hAnsi="楷体" w:eastAsia="楷体" w:cs="Arial"/>
                <w:sz w:val="15"/>
                <w:szCs w:val="15"/>
              </w:rPr>
            </w:pPr>
            <w:r>
              <w:rPr>
                <w:rFonts w:hint="eastAsia" w:ascii="楷体" w:hAnsi="楷体" w:eastAsia="楷体"/>
                <w:sz w:val="15"/>
              </w:rPr>
              <w:t>铜</w:t>
            </w:r>
          </w:p>
        </w:tc>
        <w:tc>
          <w:tcPr>
            <w:tcW w:w="1046" w:type="dxa"/>
            <w:shd w:val="clear" w:color="auto" w:fill="EAF1DD"/>
            <w:vAlign w:val="top"/>
          </w:tcPr>
          <w:p>
            <w:pPr>
              <w:spacing w:before="0" w:beforeLines="0" w:after="0" w:afterLines="0"/>
              <w:jc w:val="center"/>
              <w:rPr>
                <w:rFonts w:ascii="楷体" w:hAnsi="楷体" w:eastAsia="楷体" w:cs="Arial"/>
                <w:sz w:val="15"/>
                <w:szCs w:val="15"/>
              </w:rPr>
            </w:pPr>
            <w:r>
              <w:rPr>
                <w:rFonts w:hint="eastAsia" w:ascii="楷体" w:hAnsi="楷体" w:eastAsia="楷体"/>
                <w:sz w:val="15"/>
              </w:rPr>
              <w:t>纤维板</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340" w:hRule="atLeast"/>
        </w:trPr>
        <w:tc>
          <w:tcPr>
            <w:tcW w:w="1045" w:type="dxa"/>
            <w:vAlign w:val="top"/>
          </w:tcPr>
          <w:p>
            <w:pPr>
              <w:spacing w:before="0" w:beforeLines="0" w:after="0" w:afterLines="0"/>
              <w:jc w:val="center"/>
              <w:rPr>
                <w:rFonts w:ascii="楷体" w:hAnsi="楷体" w:eastAsia="楷体" w:cs="Arial"/>
                <w:b w:val="0"/>
                <w:bCs/>
                <w:sz w:val="15"/>
                <w:szCs w:val="15"/>
              </w:rPr>
            </w:pPr>
            <w:r>
              <w:rPr>
                <w:rFonts w:ascii="楷体" w:hAnsi="楷体" w:eastAsia="楷体"/>
                <w:b w:val="0"/>
                <w:bCs/>
                <w:sz w:val="15"/>
              </w:rPr>
              <w:t>-14.57%</w:t>
            </w:r>
          </w:p>
        </w:tc>
        <w:tc>
          <w:tcPr>
            <w:tcW w:w="1045" w:type="dxa"/>
            <w:vAlign w:val="top"/>
          </w:tcPr>
          <w:p>
            <w:pPr>
              <w:spacing w:before="0" w:beforeLines="0" w:after="0" w:afterLines="0"/>
              <w:jc w:val="center"/>
              <w:rPr>
                <w:rFonts w:ascii="楷体" w:hAnsi="楷体" w:eastAsia="楷体" w:cs="Arial"/>
                <w:sz w:val="15"/>
                <w:szCs w:val="15"/>
              </w:rPr>
            </w:pPr>
            <w:r>
              <w:rPr>
                <w:rFonts w:ascii="楷体" w:hAnsi="楷体" w:eastAsia="楷体"/>
                <w:sz w:val="15"/>
              </w:rPr>
              <w:t>-2.54%</w:t>
            </w:r>
          </w:p>
        </w:tc>
        <w:tc>
          <w:tcPr>
            <w:tcW w:w="1045" w:type="dxa"/>
            <w:vAlign w:val="top"/>
          </w:tcPr>
          <w:p>
            <w:pPr>
              <w:spacing w:before="0" w:beforeLines="0" w:after="0" w:afterLines="0"/>
              <w:jc w:val="center"/>
              <w:rPr>
                <w:rFonts w:ascii="楷体" w:hAnsi="楷体" w:eastAsia="楷体" w:cs="Arial"/>
                <w:sz w:val="15"/>
                <w:szCs w:val="15"/>
              </w:rPr>
            </w:pPr>
            <w:r>
              <w:rPr>
                <w:rFonts w:ascii="楷体" w:hAnsi="楷体" w:eastAsia="楷体"/>
                <w:sz w:val="15"/>
              </w:rPr>
              <w:t>-1.42%</w:t>
            </w:r>
          </w:p>
        </w:tc>
        <w:tc>
          <w:tcPr>
            <w:tcW w:w="1045" w:type="dxa"/>
            <w:vAlign w:val="top"/>
          </w:tcPr>
          <w:p>
            <w:pPr>
              <w:spacing w:before="0" w:beforeLines="0" w:after="0" w:afterLines="0"/>
              <w:jc w:val="center"/>
              <w:rPr>
                <w:rFonts w:ascii="楷体" w:hAnsi="楷体" w:eastAsia="楷体" w:cs="Arial"/>
                <w:sz w:val="15"/>
                <w:szCs w:val="15"/>
              </w:rPr>
            </w:pPr>
            <w:r>
              <w:rPr>
                <w:rFonts w:ascii="楷体" w:hAnsi="楷体" w:eastAsia="楷体"/>
                <w:sz w:val="15"/>
              </w:rPr>
              <w:t>-1.12%</w:t>
            </w:r>
          </w:p>
        </w:tc>
        <w:tc>
          <w:tcPr>
            <w:tcW w:w="1046" w:type="dxa"/>
            <w:vAlign w:val="top"/>
          </w:tcPr>
          <w:p>
            <w:pPr>
              <w:spacing w:before="0" w:beforeLines="0" w:after="0" w:afterLines="0"/>
              <w:jc w:val="center"/>
              <w:rPr>
                <w:rFonts w:ascii="楷体" w:hAnsi="楷体" w:eastAsia="楷体" w:cs="Arial"/>
                <w:sz w:val="15"/>
                <w:szCs w:val="15"/>
              </w:rPr>
            </w:pPr>
            <w:r>
              <w:rPr>
                <w:rFonts w:ascii="楷体" w:hAnsi="楷体" w:eastAsia="楷体"/>
                <w:sz w:val="15"/>
              </w:rPr>
              <w:t>-1.02%</w:t>
            </w:r>
          </w:p>
        </w:tc>
        <w:tc>
          <w:tcPr>
            <w:tcW w:w="1046" w:type="dxa"/>
            <w:vAlign w:val="top"/>
          </w:tcPr>
          <w:p>
            <w:pPr>
              <w:spacing w:before="0" w:beforeLines="0" w:after="0" w:afterLines="0"/>
              <w:jc w:val="center"/>
              <w:rPr>
                <w:rFonts w:ascii="楷体" w:hAnsi="楷体" w:eastAsia="楷体" w:cs="Arial"/>
                <w:sz w:val="15"/>
                <w:szCs w:val="15"/>
              </w:rPr>
            </w:pPr>
            <w:r>
              <w:rPr>
                <w:rFonts w:ascii="楷体" w:hAnsi="楷体" w:eastAsia="楷体"/>
                <w:sz w:val="15"/>
              </w:rPr>
              <w:t>-0.74%</w:t>
            </w:r>
          </w:p>
        </w:tc>
        <w:tc>
          <w:tcPr>
            <w:tcW w:w="1046" w:type="dxa"/>
            <w:vAlign w:val="top"/>
          </w:tcPr>
          <w:p>
            <w:pPr>
              <w:spacing w:before="0" w:beforeLines="0" w:after="0" w:afterLines="0"/>
              <w:jc w:val="center"/>
              <w:rPr>
                <w:rFonts w:ascii="楷体" w:hAnsi="楷体" w:eastAsia="楷体" w:cs="Arial"/>
                <w:sz w:val="15"/>
                <w:szCs w:val="15"/>
              </w:rPr>
            </w:pPr>
            <w:r>
              <w:rPr>
                <w:rFonts w:ascii="楷体" w:hAnsi="楷体" w:eastAsia="楷体"/>
                <w:sz w:val="15"/>
              </w:rPr>
              <w:t>-0.56%</w:t>
            </w:r>
          </w:p>
        </w:tc>
        <w:tc>
          <w:tcPr>
            <w:tcW w:w="1046" w:type="dxa"/>
            <w:vAlign w:val="top"/>
          </w:tcPr>
          <w:p>
            <w:pPr>
              <w:spacing w:before="0" w:beforeLines="0" w:after="0" w:afterLines="0"/>
              <w:jc w:val="center"/>
              <w:rPr>
                <w:rFonts w:ascii="楷体" w:hAnsi="楷体" w:eastAsia="楷体" w:cs="Arial"/>
                <w:sz w:val="15"/>
                <w:szCs w:val="15"/>
              </w:rPr>
            </w:pPr>
            <w:r>
              <w:rPr>
                <w:rFonts w:ascii="楷体" w:hAnsi="楷体" w:eastAsia="楷体"/>
                <w:sz w:val="15"/>
              </w:rPr>
              <w:t>-0.28%</w:t>
            </w:r>
          </w:p>
        </w:tc>
        <w:tc>
          <w:tcPr>
            <w:tcW w:w="1046" w:type="dxa"/>
            <w:vAlign w:val="top"/>
          </w:tcPr>
          <w:p>
            <w:pPr>
              <w:spacing w:before="0" w:beforeLines="0" w:after="0" w:afterLines="0"/>
              <w:jc w:val="center"/>
              <w:rPr>
                <w:rFonts w:ascii="楷体" w:hAnsi="楷体" w:eastAsia="楷体" w:cs="Arial"/>
                <w:sz w:val="15"/>
                <w:szCs w:val="15"/>
              </w:rPr>
            </w:pPr>
            <w:r>
              <w:rPr>
                <w:rFonts w:ascii="楷体" w:hAnsi="楷体" w:eastAsia="楷体"/>
                <w:sz w:val="15"/>
              </w:rPr>
              <w:t>-0.14%</w:t>
            </w:r>
          </w:p>
        </w:tc>
        <w:tc>
          <w:tcPr>
            <w:tcW w:w="1046" w:type="dxa"/>
            <w:vAlign w:val="top"/>
          </w:tcPr>
          <w:p>
            <w:pPr>
              <w:spacing w:before="0" w:beforeLines="0" w:after="0" w:afterLines="0"/>
              <w:jc w:val="center"/>
              <w:rPr>
                <w:rFonts w:ascii="楷体" w:hAnsi="楷体" w:eastAsia="楷体" w:cs="Arial"/>
                <w:sz w:val="15"/>
                <w:szCs w:val="15"/>
              </w:rPr>
            </w:pPr>
            <w:r>
              <w:rPr>
                <w:rFonts w:ascii="楷体" w:hAnsi="楷体" w:eastAsia="楷体"/>
                <w:sz w:val="15"/>
              </w:rPr>
              <w:t>0.00%</w:t>
            </w:r>
          </w:p>
        </w:tc>
      </w:tr>
    </w:tbl>
    <w:p>
      <w:pPr>
        <w:spacing w:before="0" w:beforeLines="0" w:after="0" w:afterLines="0" w:line="0" w:lineRule="atLeast"/>
        <w:rPr>
          <w:rFonts w:ascii="Times New Roman" w:hAnsi="Times New Roman"/>
          <w:b/>
          <w:sz w:val="10"/>
          <w:szCs w:val="1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572"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2"/>
              <w:gridCol w:w="222"/>
              <w:gridCol w:w="5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772"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8" w:name="_Toc513836614"/>
                  <w:bookmarkStart w:id="9" w:name="_Toc51383668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商品板块周涨跌幅</w:t>
                  </w:r>
                  <w:bookmarkEnd w:id="8"/>
                  <w:bookmarkEnd w:id="9"/>
                </w:p>
              </w:tc>
              <w:tc>
                <w:tcPr>
                  <w:tcW w:w="222" w:type="dxa"/>
                  <w:vAlign w:val="center"/>
                </w:tcPr>
                <w:p>
                  <w:pPr>
                    <w:spacing w:before="0" w:beforeLines="0" w:after="0" w:afterLines="0"/>
                    <w:jc w:val="center"/>
                    <w:rPr>
                      <w:rFonts w:ascii="宋体" w:hAnsi="宋体" w:eastAsia="宋体"/>
                      <w:sz w:val="20"/>
                    </w:rPr>
                  </w:pPr>
                </w:p>
              </w:tc>
              <w:tc>
                <w:tcPr>
                  <w:tcW w:w="5256"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0" w:name="_Toc513836615"/>
                  <w:bookmarkStart w:id="11" w:name="_Toc51383668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w:t>
                  </w:r>
                  <w:r>
                    <w:rPr>
                      <w:rFonts w:ascii="楷体" w:hAnsi="楷体" w:eastAsia="楷体"/>
                      <w:i/>
                      <w:color w:val="002060"/>
                    </w:rPr>
                    <w:fldChar w:fldCharType="end"/>
                  </w:r>
                  <w:r>
                    <w:rPr>
                      <w:rFonts w:hint="eastAsia" w:ascii="楷体" w:hAnsi="楷体" w:eastAsia="楷体"/>
                      <w:i/>
                      <w:color w:val="002060"/>
                    </w:rPr>
                    <w:t>：商品板块周成交量</w:t>
                  </w:r>
                  <w:bookmarkEnd w:id="10"/>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4772"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2" o:spid="_x0000_s1028" type="#_x0000_t75" style="height:127.55pt;width:226.7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256"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6" o:spid="_x0000_s1029" type="#_x0000_t75" style="height:127.55pt;width:226.7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772"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256"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0" w:lineRule="atLeast"/>
        <w:rPr>
          <w:rFonts w:ascii="Times New Roman" w:hAnsi="Times New Roman"/>
          <w:b/>
          <w:sz w:val="10"/>
          <w:szCs w:val="1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572"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2" w:name="_Toc513836617"/>
                  <w:bookmarkStart w:id="13" w:name="_Toc51383668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国内期货品种周成交量（手）</w:t>
                  </w:r>
                  <w:bookmarkEnd w:id="12"/>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10250"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8" o:spid="_x0000_s1030" type="#_x0000_t75" style="height:127.55pt;width:510.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0" w:lineRule="atLeast"/>
        <w:rPr>
          <w:rFonts w:ascii="Times New Roman" w:hAnsi="Times New Roman"/>
          <w:b/>
          <w:sz w:val="10"/>
          <w:szCs w:val="10"/>
        </w:rPr>
      </w:pPr>
    </w:p>
    <w:tbl>
      <w:tblPr>
        <w:tblStyle w:val="30"/>
        <w:tblW w:w="1047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2" w:hRule="atLeast"/>
        </w:trPr>
        <w:tc>
          <w:tcPr>
            <w:tcW w:w="10476" w:type="dxa"/>
            <w:vAlign w:val="top"/>
          </w:tcPr>
          <w:tbl>
            <w:tblPr>
              <w:tblStyle w:val="30"/>
              <w:tblW w:w="10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9"/>
              <w:gridCol w:w="222"/>
              <w:gridCol w:w="5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9"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w:t>
                  </w:r>
                  <w:r>
                    <w:rPr>
                      <w:rFonts w:ascii="楷体" w:hAnsi="楷体" w:eastAsia="楷体"/>
                      <w:i/>
                      <w:color w:val="002060"/>
                    </w:rPr>
                    <w:fldChar w:fldCharType="end"/>
                  </w:r>
                  <w:r>
                    <w:rPr>
                      <w:rFonts w:hint="eastAsia" w:ascii="楷体" w:hAnsi="楷体" w:eastAsia="楷体"/>
                      <w:i/>
                      <w:color w:val="002060"/>
                    </w:rPr>
                    <w:t>：国内商品持仓量排名前十</w:t>
                  </w:r>
                </w:p>
              </w:tc>
              <w:tc>
                <w:tcPr>
                  <w:tcW w:w="222" w:type="dxa"/>
                  <w:vAlign w:val="center"/>
                </w:tcPr>
                <w:p>
                  <w:pPr>
                    <w:spacing w:before="0" w:beforeLines="0" w:after="0" w:afterLines="0"/>
                    <w:jc w:val="center"/>
                    <w:rPr>
                      <w:rFonts w:ascii="宋体" w:hAnsi="宋体" w:eastAsia="宋体"/>
                      <w:sz w:val="20"/>
                    </w:rPr>
                  </w:pPr>
                </w:p>
              </w:tc>
              <w:tc>
                <w:tcPr>
                  <w:tcW w:w="5019" w:type="dxa"/>
                  <w:tcBorders>
                    <w:bottom w:val="single" w:color="002060" w:sz="6" w:space="0"/>
                  </w:tcBorders>
                  <w:vAlign w:val="center"/>
                </w:tcPr>
                <w:p>
                  <w:pPr>
                    <w:keepNext/>
                    <w:spacing w:before="0" w:beforeLines="0" w:after="0" w:afterLines="0"/>
                    <w:jc w:val="left"/>
                    <w:rPr>
                      <w:rFonts w:ascii="宋体" w:hAnsi="宋体" w:eastAsia="宋体"/>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w:t>
                  </w:r>
                  <w:r>
                    <w:rPr>
                      <w:rFonts w:ascii="楷体" w:hAnsi="楷体" w:eastAsia="楷体"/>
                      <w:i/>
                      <w:color w:val="002060"/>
                    </w:rPr>
                    <w:fldChar w:fldCharType="end"/>
                  </w:r>
                  <w:r>
                    <w:rPr>
                      <w:rFonts w:hint="eastAsia" w:ascii="楷体" w:hAnsi="楷体" w:eastAsia="楷体"/>
                      <w:i/>
                      <w:color w:val="002060"/>
                    </w:rPr>
                    <w:t>：国际商品涨跌幅排名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5019"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7" o:spid="_x0000_s1031" type="#_x0000_t75" style="height:127.55pt;width:226.7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9"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1" o:spid="_x0000_s1032" type="#_x0000_t75" style="height:127.55pt;width:226.7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9"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9"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156" w:after="156"/>
      </w:pPr>
      <w: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14" w:name="_Toc518221391"/>
      <w:bookmarkStart w:id="15" w:name="_Toc511512876"/>
      <w:bookmarkStart w:id="16" w:name="_Toc511512988"/>
      <w:bookmarkStart w:id="17" w:name="_Toc511581194"/>
      <w:bookmarkStart w:id="18" w:name="_Toc513394758"/>
      <w:bookmarkStart w:id="19" w:name="_Toc513901722"/>
      <w:r>
        <w:rPr>
          <w:rFonts w:ascii="楷体" w:hAnsi="楷体" w:eastAsia="楷体" w:cs="黑体"/>
          <w:b/>
          <w:color w:val="C00000"/>
          <w:sz w:val="28"/>
          <w:szCs w:val="32"/>
        </w:rPr>
        <w:t>宏观经济、市场策略和股指期货市场分析</w:t>
      </w:r>
      <w:bookmarkEnd w:id="14"/>
      <w:bookmarkEnd w:id="15"/>
      <w:bookmarkEnd w:id="16"/>
      <w:bookmarkEnd w:id="17"/>
      <w:bookmarkEnd w:id="18"/>
      <w:bookmarkEnd w:id="19"/>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0" w:name="_Toc511512877"/>
      <w:bookmarkStart w:id="21" w:name="_Toc511512989"/>
      <w:bookmarkStart w:id="22" w:name="_Toc511581195"/>
      <w:bookmarkStart w:id="23" w:name="_Toc513394759"/>
      <w:bookmarkStart w:id="24" w:name="_Toc513901723"/>
      <w:bookmarkStart w:id="25" w:name="_Toc518221392"/>
      <w:r>
        <w:rPr>
          <w:rFonts w:ascii="楷体" w:hAnsi="楷体" w:eastAsia="楷体" w:cs="黑体"/>
          <w:b/>
          <w:color w:val="C00000"/>
          <w:sz w:val="24"/>
          <w:szCs w:val="32"/>
        </w:rPr>
        <w:t>1 一周重大宏观政策、事件和数据解读</w:t>
      </w:r>
      <w:bookmarkEnd w:id="20"/>
      <w:bookmarkEnd w:id="21"/>
      <w:bookmarkEnd w:id="22"/>
      <w:bookmarkEnd w:id="23"/>
      <w:bookmarkEnd w:id="24"/>
      <w:bookmarkEnd w:id="25"/>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6" w:name="_Toc513836690"/>
                  <w:bookmarkStart w:id="27" w:name="_Toc513836619"/>
                  <w:bookmarkStart w:id="28" w:name="_Toc50999994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一周重大宏观政策、事件和数据解读</w:t>
                  </w:r>
                  <w:bookmarkEnd w:id="26"/>
                  <w:bookmarkEnd w:id="2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10250" w:type="dxa"/>
                  <w:tcBorders>
                    <w:top w:val="single" w:color="002060" w:sz="6" w:space="0"/>
                    <w:bottom w:val="single" w:color="002060" w:sz="6" w:space="0"/>
                  </w:tcBorders>
                  <w:vAlign w:val="center"/>
                </w:tcPr>
                <w:tbl>
                  <w:tblPr>
                    <w:tblStyle w:val="148"/>
                    <w:tblW w:w="9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1028"/>
                    <w:gridCol w:w="1850"/>
                    <w:gridCol w:w="3321"/>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78" w:type="dxa"/>
                        <w:shd w:val="clear" w:color="auto" w:fill="FFFFFF"/>
                        <w:vAlign w:val="center"/>
                      </w:tcPr>
                      <w:p>
                        <w:pPr>
                          <w:widowControl/>
                          <w:spacing w:before="0" w:beforeLines="0" w:after="0" w:afterLines="0"/>
                          <w:jc w:val="center"/>
                          <w:rPr>
                            <w:rFonts w:ascii="楷体" w:hAnsi="楷体" w:eastAsia="楷体" w:cs="宋体"/>
                            <w:b/>
                            <w:bCs/>
                            <w:color w:val="000000"/>
                            <w:kern w:val="0"/>
                            <w:sz w:val="15"/>
                            <w:szCs w:val="15"/>
                          </w:rPr>
                        </w:pPr>
                        <w:r>
                          <w:rPr>
                            <w:rFonts w:hint="eastAsia" w:ascii="楷体" w:hAnsi="楷体" w:eastAsia="楷体" w:cs="宋体"/>
                            <w:b/>
                            <w:bCs/>
                            <w:color w:val="000000"/>
                            <w:kern w:val="0"/>
                            <w:sz w:val="15"/>
                            <w:szCs w:val="15"/>
                          </w:rPr>
                          <w:t>类别</w:t>
                        </w:r>
                      </w:p>
                    </w:tc>
                    <w:tc>
                      <w:tcPr>
                        <w:tcW w:w="1028" w:type="dxa"/>
                        <w:shd w:val="clear" w:color="auto" w:fill="FFFFFF"/>
                        <w:vAlign w:val="center"/>
                      </w:tcPr>
                      <w:p>
                        <w:pPr>
                          <w:widowControl/>
                          <w:spacing w:before="0" w:beforeLines="0" w:after="0" w:afterLines="0"/>
                          <w:jc w:val="center"/>
                          <w:rPr>
                            <w:rFonts w:ascii="楷体" w:hAnsi="楷体" w:eastAsia="楷体" w:cs="宋体"/>
                            <w:b/>
                            <w:bCs/>
                            <w:color w:val="000000"/>
                            <w:kern w:val="0"/>
                            <w:sz w:val="15"/>
                            <w:szCs w:val="15"/>
                          </w:rPr>
                        </w:pPr>
                        <w:r>
                          <w:rPr>
                            <w:rFonts w:hint="eastAsia" w:ascii="楷体" w:hAnsi="楷体" w:eastAsia="楷体" w:cs="宋体"/>
                            <w:b/>
                            <w:bCs/>
                            <w:color w:val="000000"/>
                            <w:kern w:val="0"/>
                            <w:sz w:val="15"/>
                            <w:szCs w:val="15"/>
                          </w:rPr>
                          <w:t>时间</w:t>
                        </w:r>
                      </w:p>
                    </w:tc>
                    <w:tc>
                      <w:tcPr>
                        <w:tcW w:w="1850" w:type="dxa"/>
                        <w:shd w:val="clear" w:color="auto" w:fill="FFFFFF"/>
                        <w:vAlign w:val="center"/>
                      </w:tcPr>
                      <w:p>
                        <w:pPr>
                          <w:widowControl/>
                          <w:spacing w:before="0" w:beforeLines="0" w:after="0" w:afterLines="0"/>
                          <w:jc w:val="center"/>
                          <w:rPr>
                            <w:rFonts w:ascii="楷体" w:hAnsi="楷体" w:eastAsia="楷体" w:cs="宋体"/>
                            <w:b/>
                            <w:bCs/>
                            <w:color w:val="000000"/>
                            <w:kern w:val="0"/>
                            <w:sz w:val="15"/>
                            <w:szCs w:val="15"/>
                          </w:rPr>
                        </w:pPr>
                        <w:r>
                          <w:rPr>
                            <w:rFonts w:hint="eastAsia" w:ascii="楷体" w:hAnsi="楷体" w:eastAsia="楷体" w:cs="宋体"/>
                            <w:b/>
                            <w:bCs/>
                            <w:color w:val="000000"/>
                            <w:kern w:val="0"/>
                            <w:sz w:val="15"/>
                            <w:szCs w:val="15"/>
                          </w:rPr>
                          <w:t>政策/数据</w:t>
                        </w:r>
                      </w:p>
                    </w:tc>
                    <w:tc>
                      <w:tcPr>
                        <w:tcW w:w="3321" w:type="dxa"/>
                        <w:shd w:val="clear" w:color="auto" w:fill="FFFFFF"/>
                        <w:vAlign w:val="center"/>
                      </w:tcPr>
                      <w:p>
                        <w:pPr>
                          <w:widowControl/>
                          <w:spacing w:before="0" w:beforeLines="0" w:after="0" w:afterLines="0"/>
                          <w:jc w:val="center"/>
                          <w:rPr>
                            <w:rFonts w:ascii="楷体" w:hAnsi="楷体" w:eastAsia="楷体" w:cs="宋体"/>
                            <w:b/>
                            <w:bCs/>
                            <w:color w:val="000000"/>
                            <w:kern w:val="0"/>
                            <w:sz w:val="15"/>
                            <w:szCs w:val="15"/>
                          </w:rPr>
                        </w:pPr>
                        <w:r>
                          <w:rPr>
                            <w:rFonts w:hint="eastAsia" w:ascii="楷体" w:hAnsi="楷体" w:eastAsia="楷体" w:cs="宋体"/>
                            <w:b/>
                            <w:bCs/>
                            <w:color w:val="000000"/>
                            <w:kern w:val="0"/>
                            <w:sz w:val="15"/>
                            <w:szCs w:val="15"/>
                          </w:rPr>
                          <w:t>内容</w:t>
                        </w:r>
                      </w:p>
                    </w:tc>
                    <w:tc>
                      <w:tcPr>
                        <w:tcW w:w="2673" w:type="dxa"/>
                        <w:shd w:val="clear" w:color="auto" w:fill="FFFFFF"/>
                        <w:vAlign w:val="center"/>
                      </w:tcPr>
                      <w:p>
                        <w:pPr>
                          <w:widowControl/>
                          <w:spacing w:before="0" w:beforeLines="0" w:after="0" w:afterLines="0"/>
                          <w:jc w:val="center"/>
                          <w:rPr>
                            <w:rFonts w:ascii="楷体" w:hAnsi="楷体" w:eastAsia="楷体" w:cs="宋体"/>
                            <w:b/>
                            <w:bCs/>
                            <w:color w:val="000000"/>
                            <w:kern w:val="0"/>
                            <w:sz w:val="15"/>
                            <w:szCs w:val="15"/>
                          </w:rPr>
                        </w:pPr>
                        <w:r>
                          <w:rPr>
                            <w:rFonts w:hint="eastAsia" w:ascii="楷体" w:hAnsi="楷体" w:eastAsia="楷体" w:cs="宋体"/>
                            <w:b/>
                            <w:bCs/>
                            <w:color w:val="000000"/>
                            <w:kern w:val="0"/>
                            <w:sz w:val="15"/>
                            <w:szCs w:val="15"/>
                          </w:rPr>
                          <w:t>点评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978" w:type="dxa"/>
                        <w:vMerge w:val="restart"/>
                        <w:shd w:val="clear" w:color="auto" w:fill="DBE5F1"/>
                        <w:vAlign w:val="center"/>
                      </w:tcPr>
                      <w:p>
                        <w:pPr>
                          <w:widowControl/>
                          <w:spacing w:before="156" w:after="156"/>
                          <w:jc w:val="center"/>
                          <w:rPr>
                            <w:rFonts w:ascii="楷体" w:hAnsi="楷体" w:eastAsia="楷体" w:cs="宋体"/>
                            <w:b/>
                            <w:bCs/>
                            <w:color w:val="000000"/>
                            <w:kern w:val="0"/>
                            <w:sz w:val="15"/>
                            <w:szCs w:val="15"/>
                          </w:rPr>
                        </w:pPr>
                        <w:r>
                          <w:rPr>
                            <w:rFonts w:hint="eastAsia" w:ascii="楷体" w:hAnsi="楷体" w:eastAsia="楷体" w:cs="宋体"/>
                            <w:b/>
                            <w:bCs/>
                            <w:color w:val="000000"/>
                            <w:kern w:val="0"/>
                            <w:sz w:val="15"/>
                            <w:szCs w:val="15"/>
                          </w:rPr>
                          <w:t>政策</w:t>
                        </w:r>
                      </w:p>
                    </w:tc>
                    <w:tc>
                      <w:tcPr>
                        <w:tcW w:w="1028" w:type="dxa"/>
                        <w:shd w:val="clear" w:color="auto" w:fill="DBE5F1"/>
                        <w:vAlign w:val="center"/>
                      </w:tcPr>
                      <w:p>
                        <w:pPr>
                          <w:widowControl/>
                          <w:spacing w:before="156" w:after="156"/>
                          <w:jc w:val="center"/>
                          <w:rPr>
                            <w:rFonts w:ascii="楷体" w:hAnsi="楷体" w:eastAsia="楷体" w:cs="宋体"/>
                            <w:color w:val="000000"/>
                            <w:kern w:val="0"/>
                            <w:sz w:val="15"/>
                            <w:szCs w:val="15"/>
                          </w:rPr>
                        </w:pPr>
                        <w:r>
                          <w:rPr>
                            <w:rFonts w:ascii="楷体" w:hAnsi="楷体" w:eastAsia="楷体" w:cs="宋体"/>
                            <w:color w:val="000000"/>
                            <w:kern w:val="0"/>
                            <w:sz w:val="15"/>
                            <w:szCs w:val="15"/>
                          </w:rPr>
                          <w:t>6</w:t>
                        </w:r>
                        <w:r>
                          <w:rPr>
                            <w:rFonts w:hint="eastAsia" w:ascii="楷体" w:hAnsi="楷体" w:eastAsia="楷体" w:cs="宋体"/>
                            <w:color w:val="000000"/>
                            <w:kern w:val="0"/>
                            <w:sz w:val="15"/>
                            <w:szCs w:val="15"/>
                          </w:rPr>
                          <w:t>月</w:t>
                        </w:r>
                        <w:r>
                          <w:rPr>
                            <w:rFonts w:ascii="楷体" w:hAnsi="楷体" w:eastAsia="楷体" w:cs="宋体"/>
                            <w:color w:val="000000"/>
                            <w:kern w:val="0"/>
                            <w:sz w:val="15"/>
                            <w:szCs w:val="15"/>
                          </w:rPr>
                          <w:t>29日</w:t>
                        </w:r>
                      </w:p>
                    </w:tc>
                    <w:tc>
                      <w:tcPr>
                        <w:tcW w:w="1850" w:type="dxa"/>
                        <w:shd w:val="clear" w:color="auto" w:fill="DBE5F1"/>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香港再推楼市大招：开征一手房空置税，调整居屋定价机制</w:t>
                        </w:r>
                      </w:p>
                    </w:tc>
                    <w:tc>
                      <w:tcPr>
                        <w:tcW w:w="3321" w:type="dxa"/>
                        <w:shd w:val="clear" w:color="auto" w:fill="DBE5F1"/>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香港批准对空置一年及以上的一手住宅征收空置税，同时还决定调整针对低收入市民的居屋定价机制。此前分析称，居屋售价可能从目前的市价7折最低降至约5折。</w:t>
                        </w:r>
                      </w:p>
                    </w:tc>
                    <w:tc>
                      <w:tcPr>
                        <w:tcW w:w="2673" w:type="dxa"/>
                        <w:shd w:val="clear" w:color="auto" w:fill="DBE5F1"/>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房地产政策收紧明显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978" w:type="dxa"/>
                        <w:vMerge w:val="continue"/>
                        <w:vAlign w:val="center"/>
                      </w:tcPr>
                      <w:p>
                        <w:pPr>
                          <w:widowControl/>
                          <w:spacing w:before="156" w:after="156"/>
                          <w:jc w:val="center"/>
                          <w:rPr>
                            <w:rFonts w:ascii="楷体" w:hAnsi="楷体" w:eastAsia="楷体" w:cs="宋体"/>
                            <w:b/>
                            <w:bCs/>
                            <w:color w:val="000000"/>
                            <w:kern w:val="0"/>
                            <w:sz w:val="15"/>
                            <w:szCs w:val="15"/>
                          </w:rPr>
                        </w:pPr>
                      </w:p>
                    </w:tc>
                    <w:tc>
                      <w:tcPr>
                        <w:tcW w:w="1028" w:type="dxa"/>
                        <w:vAlign w:val="center"/>
                      </w:tcPr>
                      <w:p>
                        <w:pPr>
                          <w:widowControl/>
                          <w:spacing w:before="156" w:after="156"/>
                          <w:jc w:val="center"/>
                          <w:rPr>
                            <w:rFonts w:ascii="楷体" w:hAnsi="楷体" w:eastAsia="楷体" w:cs="宋体"/>
                            <w:color w:val="000000"/>
                            <w:kern w:val="0"/>
                            <w:sz w:val="15"/>
                            <w:szCs w:val="15"/>
                          </w:rPr>
                        </w:pPr>
                        <w:r>
                          <w:rPr>
                            <w:rFonts w:ascii="楷体" w:hAnsi="楷体" w:eastAsia="楷体" w:cs="宋体"/>
                            <w:color w:val="000000"/>
                            <w:kern w:val="0"/>
                            <w:sz w:val="15"/>
                            <w:szCs w:val="15"/>
                          </w:rPr>
                          <w:t>6</w:t>
                        </w:r>
                        <w:r>
                          <w:rPr>
                            <w:rFonts w:hint="eastAsia" w:ascii="楷体" w:hAnsi="楷体" w:eastAsia="楷体" w:cs="宋体"/>
                            <w:color w:val="000000"/>
                            <w:kern w:val="0"/>
                            <w:sz w:val="15"/>
                            <w:szCs w:val="15"/>
                          </w:rPr>
                          <w:t>月</w:t>
                        </w:r>
                        <w:r>
                          <w:rPr>
                            <w:rFonts w:ascii="楷体" w:hAnsi="楷体" w:eastAsia="楷体" w:cs="宋体"/>
                            <w:color w:val="000000"/>
                            <w:kern w:val="0"/>
                            <w:sz w:val="15"/>
                            <w:szCs w:val="15"/>
                          </w:rPr>
                          <w:t>27</w:t>
                        </w:r>
                        <w:r>
                          <w:rPr>
                            <w:rFonts w:hint="eastAsia" w:ascii="楷体" w:hAnsi="楷体" w:eastAsia="楷体" w:cs="宋体"/>
                            <w:color w:val="000000"/>
                            <w:kern w:val="0"/>
                            <w:sz w:val="15"/>
                            <w:szCs w:val="15"/>
                          </w:rPr>
                          <w:t>日</w:t>
                        </w:r>
                      </w:p>
                    </w:tc>
                    <w:tc>
                      <w:tcPr>
                        <w:tcW w:w="1850" w:type="dxa"/>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中国对部分亚太贸易协定国家下调进口关税，大豆进口税降至零</w:t>
                        </w:r>
                      </w:p>
                    </w:tc>
                    <w:tc>
                      <w:tcPr>
                        <w:tcW w:w="3321" w:type="dxa"/>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国务院关税税则委员会发通知，下调部分亚太国家的大豆等产品的进口关税，并公布了其他关税下调的产品清单。</w:t>
                        </w:r>
                      </w:p>
                    </w:tc>
                    <w:tc>
                      <w:tcPr>
                        <w:tcW w:w="2673" w:type="dxa"/>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进一步积极应对贸易战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978" w:type="dxa"/>
                        <w:vMerge w:val="restart"/>
                        <w:shd w:val="clear" w:color="auto" w:fill="DBE5F1"/>
                        <w:vAlign w:val="center"/>
                      </w:tcPr>
                      <w:p>
                        <w:pPr>
                          <w:widowControl/>
                          <w:spacing w:before="156" w:after="156"/>
                          <w:jc w:val="center"/>
                          <w:rPr>
                            <w:rFonts w:ascii="楷体" w:hAnsi="楷体" w:eastAsia="楷体" w:cs="宋体"/>
                            <w:b/>
                            <w:bCs/>
                            <w:color w:val="000000"/>
                            <w:kern w:val="0"/>
                            <w:sz w:val="15"/>
                            <w:szCs w:val="15"/>
                          </w:rPr>
                        </w:pPr>
                        <w:r>
                          <w:rPr>
                            <w:rFonts w:hint="eastAsia" w:ascii="楷体" w:hAnsi="楷体" w:eastAsia="楷体" w:cs="宋体"/>
                            <w:b/>
                            <w:bCs/>
                            <w:color w:val="000000"/>
                            <w:kern w:val="0"/>
                            <w:sz w:val="15"/>
                            <w:szCs w:val="15"/>
                          </w:rPr>
                          <w:t>数据</w:t>
                        </w:r>
                      </w:p>
                    </w:tc>
                    <w:tc>
                      <w:tcPr>
                        <w:tcW w:w="1028" w:type="dxa"/>
                        <w:shd w:val="clear" w:color="auto" w:fill="DBE5F1"/>
                        <w:vAlign w:val="center"/>
                      </w:tcPr>
                      <w:p>
                        <w:pPr>
                          <w:widowControl/>
                          <w:spacing w:before="156" w:after="156"/>
                          <w:jc w:val="center"/>
                          <w:rPr>
                            <w:rFonts w:ascii="楷体" w:hAnsi="楷体" w:eastAsia="楷体" w:cs="宋体"/>
                            <w:color w:val="000000"/>
                            <w:kern w:val="0"/>
                            <w:sz w:val="15"/>
                            <w:szCs w:val="15"/>
                          </w:rPr>
                        </w:pPr>
                        <w:r>
                          <w:rPr>
                            <w:rFonts w:ascii="楷体" w:hAnsi="楷体" w:eastAsia="楷体" w:cs="宋体"/>
                            <w:color w:val="000000"/>
                            <w:kern w:val="0"/>
                            <w:sz w:val="15"/>
                            <w:szCs w:val="15"/>
                          </w:rPr>
                          <w:t>6月28日</w:t>
                        </w:r>
                      </w:p>
                    </w:tc>
                    <w:tc>
                      <w:tcPr>
                        <w:tcW w:w="1850" w:type="dxa"/>
                        <w:shd w:val="clear" w:color="auto" w:fill="DBE5F1"/>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中国5月工业企业利润延续快速增长，同比增21.1%</w:t>
                        </w:r>
                      </w:p>
                    </w:tc>
                    <w:tc>
                      <w:tcPr>
                        <w:tcW w:w="3321" w:type="dxa"/>
                        <w:shd w:val="clear" w:color="auto" w:fill="DBE5F1"/>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中国5月规模以上工业企业利润同比增长21.1%，前值增长21.9%</w:t>
                        </w:r>
                      </w:p>
                    </w:tc>
                    <w:tc>
                      <w:tcPr>
                        <w:tcW w:w="2673" w:type="dxa"/>
                        <w:shd w:val="clear" w:color="auto" w:fill="DBE5F1"/>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尽管5月份工业利润增速比4月份略有回落，但依然保持快速增长，除成本下降因素外，也得益于价格上涨。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978" w:type="dxa"/>
                        <w:vMerge w:val="continue"/>
                        <w:vAlign w:val="center"/>
                      </w:tcPr>
                      <w:p>
                        <w:pPr>
                          <w:widowControl/>
                          <w:spacing w:before="156" w:after="156"/>
                          <w:jc w:val="center"/>
                          <w:rPr>
                            <w:rFonts w:ascii="楷体" w:hAnsi="楷体" w:eastAsia="楷体" w:cs="宋体"/>
                            <w:b/>
                            <w:bCs/>
                            <w:color w:val="000000"/>
                            <w:kern w:val="0"/>
                            <w:sz w:val="15"/>
                            <w:szCs w:val="15"/>
                          </w:rPr>
                        </w:pPr>
                      </w:p>
                    </w:tc>
                    <w:tc>
                      <w:tcPr>
                        <w:tcW w:w="1028" w:type="dxa"/>
                        <w:vAlign w:val="center"/>
                      </w:tcPr>
                      <w:p>
                        <w:pPr>
                          <w:widowControl/>
                          <w:spacing w:before="156" w:after="156"/>
                          <w:jc w:val="center"/>
                          <w:rPr>
                            <w:rFonts w:ascii="楷体" w:hAnsi="楷体" w:eastAsia="楷体" w:cs="宋体"/>
                            <w:color w:val="000000"/>
                            <w:kern w:val="0"/>
                            <w:sz w:val="15"/>
                            <w:szCs w:val="15"/>
                          </w:rPr>
                        </w:pPr>
                        <w:r>
                          <w:rPr>
                            <w:rFonts w:ascii="楷体" w:hAnsi="楷体" w:eastAsia="楷体" w:cs="宋体"/>
                            <w:color w:val="000000"/>
                            <w:kern w:val="0"/>
                            <w:sz w:val="15"/>
                            <w:szCs w:val="15"/>
                          </w:rPr>
                          <w:t>6月28</w:t>
                        </w:r>
                        <w:r>
                          <w:rPr>
                            <w:rFonts w:hint="eastAsia" w:ascii="楷体" w:hAnsi="楷体" w:eastAsia="楷体" w:cs="宋体"/>
                            <w:color w:val="000000"/>
                            <w:kern w:val="0"/>
                            <w:sz w:val="15"/>
                            <w:szCs w:val="15"/>
                          </w:rPr>
                          <w:t>日</w:t>
                        </w:r>
                      </w:p>
                    </w:tc>
                    <w:tc>
                      <w:tcPr>
                        <w:tcW w:w="1850" w:type="dxa"/>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人民币对美元汇率在岸、离岸市场双双跌破6.63</w:t>
                        </w:r>
                      </w:p>
                    </w:tc>
                    <w:tc>
                      <w:tcPr>
                        <w:tcW w:w="3321" w:type="dxa"/>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6月2</w:t>
                        </w:r>
                        <w:r>
                          <w:rPr>
                            <w:rFonts w:ascii="楷体" w:hAnsi="楷体" w:eastAsia="楷体" w:cs="宋体"/>
                            <w:color w:val="000000"/>
                            <w:kern w:val="0"/>
                            <w:sz w:val="15"/>
                            <w:szCs w:val="15"/>
                          </w:rPr>
                          <w:t>8日</w:t>
                        </w:r>
                        <w:r>
                          <w:rPr>
                            <w:rFonts w:hint="eastAsia" w:ascii="楷体" w:hAnsi="楷体" w:eastAsia="楷体" w:cs="宋体"/>
                            <w:color w:val="000000"/>
                            <w:kern w:val="0"/>
                            <w:sz w:val="15"/>
                            <w:szCs w:val="15"/>
                          </w:rPr>
                          <w:t>，人民币对美元汇率在岸、离岸市场双双跌破6.63。</w:t>
                        </w:r>
                      </w:p>
                    </w:tc>
                    <w:tc>
                      <w:tcPr>
                        <w:tcW w:w="2673" w:type="dxa"/>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人民币进一步贬值空间有限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trPr>
                    <w:tc>
                      <w:tcPr>
                        <w:tcW w:w="978" w:type="dxa"/>
                        <w:shd w:val="clear" w:color="auto" w:fill="DBE5F1"/>
                        <w:vAlign w:val="center"/>
                      </w:tcPr>
                      <w:p>
                        <w:pPr>
                          <w:widowControl/>
                          <w:spacing w:before="0" w:beforeLines="0" w:after="0" w:afterLines="0"/>
                          <w:jc w:val="center"/>
                          <w:rPr>
                            <w:rFonts w:ascii="楷体" w:hAnsi="楷体" w:eastAsia="楷体" w:cs="宋体"/>
                            <w:b/>
                            <w:bCs/>
                            <w:color w:val="000000"/>
                            <w:kern w:val="0"/>
                            <w:sz w:val="15"/>
                            <w:szCs w:val="15"/>
                          </w:rPr>
                        </w:pPr>
                        <w:r>
                          <w:rPr>
                            <w:rFonts w:hint="eastAsia" w:ascii="楷体" w:hAnsi="楷体" w:eastAsia="楷体" w:cs="宋体"/>
                            <w:b/>
                            <w:bCs/>
                            <w:color w:val="000000"/>
                            <w:kern w:val="0"/>
                            <w:sz w:val="15"/>
                            <w:szCs w:val="15"/>
                          </w:rPr>
                          <w:t>事件</w:t>
                        </w:r>
                      </w:p>
                    </w:tc>
                    <w:tc>
                      <w:tcPr>
                        <w:tcW w:w="1028" w:type="dxa"/>
                        <w:shd w:val="clear" w:color="auto" w:fill="DBE5F1"/>
                        <w:vAlign w:val="center"/>
                      </w:tcPr>
                      <w:p>
                        <w:pPr>
                          <w:widowControl/>
                          <w:spacing w:before="0" w:beforeLines="0" w:after="0" w:afterLines="0"/>
                          <w:jc w:val="center"/>
                          <w:rPr>
                            <w:rFonts w:ascii="楷体" w:hAnsi="楷体" w:eastAsia="楷体" w:cs="宋体"/>
                            <w:color w:val="000000"/>
                            <w:kern w:val="0"/>
                            <w:sz w:val="15"/>
                            <w:szCs w:val="15"/>
                          </w:rPr>
                        </w:pPr>
                        <w:r>
                          <w:rPr>
                            <w:rFonts w:ascii="楷体" w:hAnsi="楷体" w:eastAsia="楷体" w:cs="宋体"/>
                            <w:color w:val="000000"/>
                            <w:kern w:val="0"/>
                            <w:sz w:val="15"/>
                            <w:szCs w:val="15"/>
                          </w:rPr>
                          <w:t>6</w:t>
                        </w:r>
                        <w:r>
                          <w:rPr>
                            <w:rFonts w:hint="eastAsia" w:ascii="楷体" w:hAnsi="楷体" w:eastAsia="楷体" w:cs="宋体"/>
                            <w:color w:val="000000"/>
                            <w:kern w:val="0"/>
                            <w:sz w:val="15"/>
                            <w:szCs w:val="15"/>
                          </w:rPr>
                          <w:t>月</w:t>
                        </w:r>
                        <w:r>
                          <w:rPr>
                            <w:rFonts w:ascii="楷体" w:hAnsi="楷体" w:eastAsia="楷体" w:cs="宋体"/>
                            <w:color w:val="000000"/>
                            <w:kern w:val="0"/>
                            <w:sz w:val="15"/>
                            <w:szCs w:val="15"/>
                          </w:rPr>
                          <w:t>24日</w:t>
                        </w:r>
                      </w:p>
                    </w:tc>
                    <w:tc>
                      <w:tcPr>
                        <w:tcW w:w="1850" w:type="dxa"/>
                        <w:shd w:val="clear" w:color="auto" w:fill="DBE5F1"/>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央行定向降准</w:t>
                        </w:r>
                      </w:p>
                    </w:tc>
                    <w:tc>
                      <w:tcPr>
                        <w:tcW w:w="3321" w:type="dxa"/>
                        <w:shd w:val="clear" w:color="auto" w:fill="DBE5F1"/>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6月24日央行的定向降准如约而至。这种以定向支持债转股和小微企业为理据的降准政策，向市场大约释放7000余亿元的流动性</w:t>
                        </w:r>
                      </w:p>
                    </w:tc>
                    <w:tc>
                      <w:tcPr>
                        <w:tcW w:w="2673" w:type="dxa"/>
                        <w:shd w:val="clear" w:color="auto" w:fill="DBE5F1"/>
                        <w:vAlign w:val="center"/>
                      </w:tcPr>
                      <w:p>
                        <w:pPr>
                          <w:widowControl/>
                          <w:spacing w:before="0" w:beforeLines="0" w:after="0" w:afterLines="0"/>
                          <w:ind w:firstLine="300" w:firstLineChars="200"/>
                          <w:rPr>
                            <w:rFonts w:ascii="楷体" w:hAnsi="楷体" w:eastAsia="楷体" w:cs="宋体"/>
                            <w:color w:val="000000"/>
                            <w:kern w:val="0"/>
                            <w:sz w:val="15"/>
                            <w:szCs w:val="15"/>
                          </w:rPr>
                        </w:pPr>
                        <w:r>
                          <w:rPr>
                            <w:rFonts w:hint="eastAsia" w:ascii="楷体" w:hAnsi="楷体" w:eastAsia="楷体" w:cs="宋体"/>
                            <w:color w:val="000000"/>
                            <w:kern w:val="0"/>
                            <w:sz w:val="15"/>
                            <w:szCs w:val="15"/>
                          </w:rPr>
                          <w:t>应对信用收紧和国际绝世紧张</w:t>
                        </w:r>
                      </w:p>
                    </w:tc>
                  </w:tr>
                </w:tbl>
                <w:p>
                  <w:pPr>
                    <w:spacing w:before="0" w:beforeLines="0" w:after="0" w:afterLines="0"/>
                    <w:rPr>
                      <w:rFonts w:ascii="楷体" w:hAnsi="楷体" w:eastAsia="楷体"/>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来源：中投期货研究所</w:t>
                  </w:r>
                </w:p>
              </w:tc>
            </w:tr>
          </w:tbl>
          <w:p>
            <w:pPr>
              <w:spacing w:before="156" w:after="156" w:line="360" w:lineRule="auto"/>
              <w:jc w:val="center"/>
              <w:rPr>
                <w:rFonts w:ascii="宋体" w:hAnsi="宋体" w:eastAsia="宋体"/>
                <w:sz w:val="20"/>
              </w:rPr>
            </w:pPr>
          </w:p>
        </w:tc>
      </w:tr>
      <w:bookmarkEnd w:id="28"/>
    </w:tbl>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9" w:name="_Toc486783170"/>
      <w:bookmarkStart w:id="30" w:name="_Toc511512878"/>
      <w:bookmarkStart w:id="31" w:name="_Toc511512990"/>
      <w:bookmarkStart w:id="32" w:name="_Toc513394760"/>
      <w:bookmarkStart w:id="33" w:name="_Toc513901724"/>
      <w:bookmarkStart w:id="34" w:name="_Toc511581196"/>
      <w:bookmarkStart w:id="35" w:name="_Toc518221393"/>
      <w:r>
        <w:rPr>
          <w:rFonts w:ascii="楷体" w:hAnsi="楷体" w:eastAsia="楷体" w:cs="黑体"/>
          <w:b/>
          <w:color w:val="C00000"/>
          <w:sz w:val="24"/>
          <w:szCs w:val="32"/>
        </w:rPr>
        <w:t xml:space="preserve">2 </w:t>
      </w:r>
      <w:bookmarkEnd w:id="29"/>
      <w:bookmarkEnd w:id="30"/>
      <w:bookmarkEnd w:id="31"/>
      <w:bookmarkEnd w:id="32"/>
      <w:bookmarkEnd w:id="33"/>
      <w:bookmarkEnd w:id="34"/>
      <w:r>
        <w:rPr>
          <w:rFonts w:hint="eastAsia" w:ascii="楷体" w:hAnsi="楷体" w:eastAsia="楷体" w:cs="黑体"/>
          <w:b/>
          <w:color w:val="C00000"/>
          <w:sz w:val="24"/>
          <w:szCs w:val="32"/>
        </w:rPr>
        <w:t>人民币再度大幅贬值概率不大</w:t>
      </w:r>
      <w:bookmarkEnd w:id="35"/>
    </w:p>
    <w:p>
      <w:pPr>
        <w:spacing w:before="156" w:after="156" w:line="240" w:lineRule="exact"/>
        <w:ind w:left="2415" w:leftChars="1150"/>
        <w:rPr>
          <w:rFonts w:ascii="Calibri" w:hAnsi="Calibri" w:eastAsia="楷体" w:cs="Calibri"/>
        </w:rPr>
      </w:pPr>
      <w:r>
        <w:rPr>
          <w:rFonts w:hint="eastAsia" w:ascii="Calibri" w:hAnsi="Calibri" w:eastAsia="楷体" w:cs="Calibri"/>
        </w:rPr>
        <w:t>在岸人民币汇率从6月中旬至今半个月内累计跌幅达3%，全年贬值幅度接近6%。</w:t>
      </w:r>
    </w:p>
    <w:p>
      <w:pPr>
        <w:spacing w:before="156" w:after="156" w:line="240" w:lineRule="exact"/>
        <w:ind w:left="2415" w:leftChars="1150"/>
        <w:rPr>
          <w:rFonts w:ascii="Calibri" w:hAnsi="Calibri" w:eastAsia="楷体" w:cs="Calibri"/>
        </w:rPr>
      </w:pPr>
      <w:r>
        <w:rPr>
          <w:rFonts w:hint="eastAsia" w:ascii="Calibri" w:hAnsi="Calibri" w:eastAsia="楷体" w:cs="Calibri"/>
        </w:rPr>
        <w:t>人民币贬值受多重因素的影响，贬值有明显的合理性，但是支撑也较强。</w:t>
      </w:r>
    </w:p>
    <w:p>
      <w:pPr>
        <w:spacing w:before="156" w:after="156" w:line="240" w:lineRule="exact"/>
        <w:ind w:left="2415" w:leftChars="1150"/>
        <w:rPr>
          <w:rFonts w:ascii="Calibri" w:hAnsi="Calibri" w:eastAsia="楷体" w:cs="Calibri"/>
        </w:rPr>
      </w:pPr>
      <w:r>
        <w:rPr>
          <w:rFonts w:hint="eastAsia" w:ascii="Calibri" w:hAnsi="Calibri" w:eastAsia="楷体" w:cs="Calibri"/>
        </w:rPr>
        <w:t>首先的影响因素是近期中国经济增速呈现显著放缓态势，而美国经济增速继续保持较快增长，两国经济增长形势迥异，影响了投资者关于长期投资回报率的预期。今年五月份中国经济的相关数据应该说是明显弱于预期，消费、投资与出口增速都显著低于市场预期数据。更令人担忧的是社会融资总额的大幅萎缩。目前来看，基建投资增速的下降与出口增速的不确定性是导致中国经济放缓最重要的原因，而更深层次的原因则是中国政府对地方政府举债的控制显著影响了基建投资增速，而中美贸易摩擦的加剧使得出口前景面临显著的不确定性。相比之下，美国经济目前继续在高于潜在增速的水平上运行。</w:t>
      </w:r>
    </w:p>
    <w:p>
      <w:pPr>
        <w:spacing w:before="156" w:after="156" w:line="240" w:lineRule="exact"/>
        <w:ind w:left="2415" w:leftChars="1150"/>
        <w:rPr>
          <w:rFonts w:ascii="Calibri" w:hAnsi="Calibri" w:eastAsia="楷体" w:cs="Calibri"/>
        </w:rPr>
      </w:pPr>
      <w:r>
        <w:rPr>
          <w:rFonts w:hint="eastAsia" w:ascii="Calibri" w:hAnsi="Calibri" w:eastAsia="楷体" w:cs="Calibri"/>
        </w:rPr>
        <w:t>其次，近期美联储继续货币政策正常化进程，而中国央行开始连续放松货币政策操作，导致中美利差进一步缩小，影响了投资者关于短期金融投资回报率的预期。今年6月，美联储如期启动年内第二次加息，并且表态下半年还可能加息两次。而在今年4月与6月，中国央行进行了两次定向降准，此外还在5月份扩大了中期信贷便利的抵押品范围。中美央行货币政策一松一紧，使得利差的变动对人民币兑美元汇率产生了下行压力。</w:t>
      </w:r>
    </w:p>
    <w:p>
      <w:pPr>
        <w:spacing w:before="156" w:after="156" w:line="240" w:lineRule="exact"/>
        <w:ind w:left="2415" w:leftChars="1150"/>
        <w:rPr>
          <w:rFonts w:ascii="Calibri" w:hAnsi="Calibri" w:eastAsia="楷体" w:cs="Calibri"/>
        </w:rPr>
      </w:pPr>
      <w:r>
        <w:rPr>
          <w:rFonts w:hint="eastAsia" w:ascii="Calibri" w:hAnsi="Calibri" w:eastAsia="楷体" w:cs="Calibri"/>
        </w:rPr>
        <w:t>再次，近期全球经济增长由趋同再次转为分化、部分国家推迟货币政策正常化、全球贸易投资冲突与地缘政治冲突加剧，使得全球投资者的风险偏好下降。新兴市场经济体普遍面临大规模资本外流，部分新兴市场经济体货币兑美元显著贬值。例如，从EPFR数据来看，上周港股市场出现了三年以来最大规模的单周净流出。尽管目前还没有数据表明中国面临的短期资本外流压力加大，但中国经济与其他新兴经济体很可能面临着类似的外部冲击。此外，近期中国股市与债市波动性的上升，客观上也可能造成相关投资主体增加对海外资产的配置。</w:t>
      </w:r>
    </w:p>
    <w:p>
      <w:pPr>
        <w:spacing w:before="156" w:after="156" w:line="240" w:lineRule="exact"/>
        <w:ind w:left="2415" w:leftChars="1150"/>
        <w:rPr>
          <w:rFonts w:ascii="Calibri" w:hAnsi="Calibri" w:eastAsia="楷体" w:cs="Calibri"/>
        </w:rPr>
      </w:pPr>
      <w:r>
        <w:rPr>
          <w:rFonts w:hint="eastAsia" w:ascii="Calibri" w:hAnsi="Calibri" w:eastAsia="楷体" w:cs="Calibri"/>
        </w:rPr>
        <w:t>第四，贸易摩擦也会打压人民币兑美元的汇率。由于中国对美国有着大规模的贸易顺差，无论如何，双方摩擦的加剧将会显著压缩中国对美国的贸易顺差，这将对人民币兑美元汇率产生下行压力。我们从1980年代中期美日的经验中也可以看到，至少在短中期内，贸易摩擦对顺差国的负面冲击要大于逆差国。</w:t>
      </w:r>
    </w:p>
    <w:p>
      <w:pPr>
        <w:spacing w:before="156" w:after="156" w:line="240" w:lineRule="exact"/>
        <w:ind w:left="2415" w:leftChars="1150"/>
        <w:rPr>
          <w:rFonts w:ascii="Calibri" w:hAnsi="Calibri" w:eastAsia="楷体" w:cs="Calibri"/>
        </w:rPr>
      </w:pPr>
      <w:r>
        <w:rPr>
          <w:rFonts w:hint="eastAsia" w:ascii="Calibri" w:hAnsi="Calibri" w:eastAsia="楷体" w:cs="Calibri"/>
        </w:rPr>
        <w:t>如果美元指数未来能够稳定在95上下、美元兑新兴市场国家货币的升值过程基本结束、中美贸易摩擦最终以比较平和的方式达成和解、全球投资者的风险偏好已经触底、中国经济增速的下行过程即将企稳，那么人民币兑美元汇率就难以出现显著下跌，有望稳定在6.7上下。反之，如果国际国内因素出现一系列不利变化，则人民币兑美元汇率就可能进一步下跌。即使在这种情形下，人民币兑美元汇率在今年内跌破7的概率，目前看来依然较小。</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36" w:name="_Toc511512879"/>
      <w:bookmarkStart w:id="37" w:name="_Toc511581197"/>
      <w:bookmarkStart w:id="38" w:name="_Toc513394761"/>
      <w:bookmarkStart w:id="39" w:name="_Toc513901725"/>
      <w:bookmarkStart w:id="40" w:name="_Toc511512991"/>
      <w:bookmarkStart w:id="41" w:name="_Toc518221394"/>
      <w:r>
        <w:rPr>
          <w:rFonts w:ascii="楷体" w:hAnsi="楷体" w:eastAsia="楷体" w:cs="黑体"/>
          <w:b/>
          <w:color w:val="C00000"/>
          <w:sz w:val="24"/>
          <w:szCs w:val="32"/>
        </w:rPr>
        <w:t>3</w:t>
      </w:r>
      <w:bookmarkEnd w:id="36"/>
      <w:bookmarkEnd w:id="37"/>
      <w:bookmarkEnd w:id="38"/>
      <w:bookmarkEnd w:id="39"/>
      <w:bookmarkEnd w:id="40"/>
      <w:r>
        <w:rPr>
          <w:rFonts w:ascii="楷体" w:hAnsi="楷体" w:eastAsia="楷体" w:cs="黑体"/>
          <w:b/>
          <w:color w:val="C00000"/>
          <w:sz w:val="24"/>
          <w:szCs w:val="32"/>
        </w:rPr>
        <w:t xml:space="preserve"> </w:t>
      </w:r>
      <w:r>
        <w:rPr>
          <w:rFonts w:hint="eastAsia" w:ascii="楷体" w:hAnsi="楷体" w:eastAsia="楷体" w:cs="黑体"/>
          <w:b/>
          <w:color w:val="C00000"/>
          <w:sz w:val="24"/>
          <w:szCs w:val="32"/>
        </w:rPr>
        <w:t>流动性：央行：流动性从“合理稳定”到“合理充裕”</w:t>
      </w:r>
      <w:bookmarkEnd w:id="41"/>
    </w:p>
    <w:p>
      <w:pPr>
        <w:spacing w:before="156" w:after="156" w:line="240" w:lineRule="exact"/>
        <w:ind w:left="2415" w:leftChars="1150"/>
        <w:rPr>
          <w:rFonts w:ascii="Calibri" w:hAnsi="Calibri" w:eastAsia="楷体" w:cs="Calibri"/>
        </w:rPr>
      </w:pPr>
      <w:r>
        <w:rPr>
          <w:rFonts w:hint="eastAsia" w:ascii="Calibri" w:hAnsi="Calibri" w:eastAsia="楷体" w:cs="Calibri"/>
        </w:rPr>
        <w:t>6月份央行会议提到，稳健的货币政策保持中性，要松紧适度，管好货币供给总闸门，保持流动性合理充裕，引导货币信贷及社融规模合理增长。央行报告关于流动性的表述也从"保持流动性合理稳定"变为"保持流动性合理充裕"。</w:t>
      </w:r>
    </w:p>
    <w:p>
      <w:pPr>
        <w:spacing w:before="156" w:after="156" w:line="240" w:lineRule="exact"/>
        <w:ind w:left="2415" w:leftChars="1150"/>
        <w:rPr>
          <w:rFonts w:ascii="Calibri" w:hAnsi="Calibri" w:eastAsia="楷体" w:cs="Calibri"/>
        </w:rPr>
      </w:pPr>
      <w:r>
        <w:rPr>
          <w:rFonts w:hint="eastAsia" w:ascii="Calibri" w:hAnsi="Calibri" w:eastAsia="楷体" w:cs="Calibri"/>
        </w:rPr>
        <w:t>7月公开市场到期情况：定向降准对冲上旬小规模到期。6月央行跨季逆回购资金投放将于7月中上旬集中到期，对资金面存在一定冲击。7月5日定向降准将正式落地施行，预计将释放7000亿元资金，将缓解上旬到期压力。目前看来，7月资金到期规模在4000亿元以下，7月初定向降准后料央行不会进行大规模流动性净投放，7月下旬资金到期压力也将趋于缓和，流动性环境有所保障。</w:t>
      </w:r>
    </w:p>
    <w:p>
      <w:pPr>
        <w:spacing w:before="156" w:after="156" w:line="240" w:lineRule="exact"/>
        <w:ind w:left="2415" w:leftChars="1150"/>
        <w:rPr>
          <w:rFonts w:ascii="Calibri" w:hAnsi="Calibri" w:eastAsia="楷体" w:cs="Calibri"/>
        </w:rPr>
      </w:pPr>
      <w:r>
        <w:rPr>
          <w:rFonts w:hint="eastAsia" w:ascii="Calibri" w:hAnsi="Calibri" w:eastAsia="楷体" w:cs="Calibri"/>
        </w:rPr>
        <w:t>流动性新规正式执行银行拆出意愿提升，定向降准即将落地流动性预期边际改善。7月1日起商业银行流动性风险管理办法将正式执行，其中对于流动性匹配率的调整对资金面的影响较大，一方面意味着对于央行资金作为稳定资金来源的认可，另一方面减轻了银行特别是大型商业银行的考核压力，有助于提升商业银行短期资金的拆放意愿。</w:t>
      </w:r>
    </w:p>
    <w:p>
      <w:pPr>
        <w:spacing w:before="156" w:after="156" w:line="240" w:lineRule="exact"/>
        <w:ind w:left="2415" w:leftChars="1150"/>
        <w:rPr>
          <w:rFonts w:ascii="Calibri" w:hAnsi="Calibri" w:eastAsia="楷体" w:cs="Calibri"/>
        </w:rPr>
      </w:pPr>
      <w:r>
        <w:rPr>
          <w:rFonts w:hint="eastAsia" w:ascii="Calibri" w:hAnsi="Calibri" w:eastAsia="楷体" w:cs="Calibri"/>
        </w:rPr>
        <w:t>信托到期规模较大，需以稳定的资金面配合温和去杠杆。从信托业协会公布的数据来看下半年信托到期规模较大，月均5179亿左右。此前发布的资管新规、委贷新规、银信55号文等都对信托行业提出了规范要求，信托业面临较大的转型压力。在监管引导及信用风险事件频发市场风险偏好下降的多重因素影响下，信托融资面临巨大的压力。</w:t>
      </w:r>
    </w:p>
    <w:p>
      <w:pPr>
        <w:spacing w:before="156" w:after="156" w:line="240" w:lineRule="exact"/>
        <w:ind w:left="2415" w:leftChars="1150"/>
        <w:rPr>
          <w:rFonts w:ascii="Calibri" w:hAnsi="Calibri" w:eastAsia="楷体" w:cs="Calibri"/>
        </w:rPr>
      </w:pPr>
      <w:r>
        <w:rPr>
          <w:rFonts w:hint="eastAsia" w:ascii="Calibri" w:hAnsi="Calibri" w:eastAsia="楷体" w:cs="Calibri"/>
        </w:rPr>
        <w:t>财政存款上缴规模较大，关注时点冲击。财政存款的投放与收缴具有季节性规律，7月份财政存款一般变现为收缴。一般财政存款上缴日期在每月15左右而财政放款日期在月末20日之后，期间存在错位期可能会产生资金面的波动。财政存款的变动对资金面的时点冲击依然存在。</w:t>
      </w:r>
    </w:p>
    <w:p>
      <w:pPr>
        <w:spacing w:before="156" w:after="156" w:line="240" w:lineRule="exact"/>
        <w:ind w:left="2415" w:leftChars="1150"/>
        <w:rPr>
          <w:rFonts w:ascii="Calibri" w:hAnsi="Calibri" w:eastAsia="楷体" w:cs="Calibri"/>
        </w:rPr>
      </w:pPr>
      <w:r>
        <w:rPr>
          <w:rFonts w:hint="eastAsia" w:ascii="Calibri" w:hAnsi="Calibri" w:eastAsia="楷体" w:cs="Calibri"/>
        </w:rPr>
        <w:t>总而言之，预计7月资金面整体将持续宽松。</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42" w:name="_Toc511512880"/>
      <w:bookmarkStart w:id="43" w:name="_Toc511512992"/>
      <w:bookmarkStart w:id="44" w:name="_Toc511581198"/>
      <w:bookmarkStart w:id="45" w:name="_Toc513394762"/>
      <w:bookmarkStart w:id="46" w:name="_Toc513901726"/>
      <w:bookmarkStart w:id="47" w:name="_Toc518221395"/>
      <w:r>
        <w:rPr>
          <w:rFonts w:ascii="楷体" w:hAnsi="楷体" w:eastAsia="楷体" w:cs="黑体"/>
          <w:b/>
          <w:color w:val="C00000"/>
          <w:sz w:val="24"/>
          <w:szCs w:val="32"/>
        </w:rPr>
        <w:t>4 商品市场策略</w:t>
      </w:r>
      <w:bookmarkEnd w:id="42"/>
      <w:bookmarkEnd w:id="43"/>
      <w:bookmarkEnd w:id="44"/>
      <w:bookmarkEnd w:id="45"/>
      <w:bookmarkEnd w:id="46"/>
      <w:bookmarkEnd w:id="47"/>
    </w:p>
    <w:p>
      <w:pPr>
        <w:spacing w:before="156" w:after="156" w:line="240" w:lineRule="exact"/>
        <w:ind w:left="2415" w:leftChars="1150"/>
        <w:rPr>
          <w:rFonts w:ascii="Calibri" w:hAnsi="Calibri" w:eastAsia="楷体" w:cs="Calibri"/>
        </w:rPr>
      </w:pPr>
      <w:r>
        <w:rPr>
          <w:rFonts w:hint="eastAsia" w:ascii="Calibri" w:hAnsi="Calibri" w:eastAsia="楷体" w:cs="Calibri"/>
        </w:rPr>
        <w:t>黑色系和化工市场分别受环保因素和原油价格的波动而大幅上涨，但供应受限可能性极低。由于政策在货币化棚改和去库存政策上将出现明显调整，且贸易战最终走向难以预测，工业品需求不足将逐渐对价格形成压制，反弹的基础并不扎实，维持反弹抛空的观点。</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48" w:name="_Toc511512881"/>
      <w:bookmarkStart w:id="49" w:name="_Toc511512993"/>
      <w:bookmarkStart w:id="50" w:name="_Toc511581199"/>
      <w:bookmarkStart w:id="51" w:name="_Toc513394763"/>
      <w:bookmarkStart w:id="52" w:name="_Toc513901727"/>
      <w:bookmarkStart w:id="53" w:name="_Toc518221396"/>
      <w:bookmarkStart w:id="54" w:name="_Toc486783173"/>
      <w:r>
        <w:rPr>
          <w:rFonts w:ascii="楷体" w:hAnsi="楷体" w:eastAsia="楷体" w:cs="黑体"/>
          <w:b/>
          <w:color w:val="C00000"/>
          <w:sz w:val="24"/>
          <w:szCs w:val="32"/>
        </w:rPr>
        <w:t>5 股指期货市场分析</w:t>
      </w:r>
      <w:bookmarkEnd w:id="48"/>
      <w:bookmarkEnd w:id="49"/>
      <w:bookmarkEnd w:id="50"/>
      <w:bookmarkEnd w:id="51"/>
      <w:bookmarkEnd w:id="52"/>
      <w:bookmarkEnd w:id="53"/>
      <w:bookmarkEnd w:id="54"/>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本周沪指一度创2年新低</w:t>
      </w:r>
    </w:p>
    <w:p>
      <w:pPr>
        <w:spacing w:before="156" w:after="156" w:line="240" w:lineRule="exact"/>
        <w:ind w:left="2415" w:leftChars="1150"/>
        <w:rPr>
          <w:rFonts w:ascii="Calibri" w:hAnsi="Calibri" w:eastAsia="楷体" w:cs="Calibri"/>
        </w:rPr>
      </w:pPr>
      <w:r>
        <w:rPr>
          <w:rFonts w:hint="eastAsia" w:ascii="Calibri" w:hAnsi="Calibri" w:eastAsia="楷体" w:cs="Calibri"/>
        </w:rPr>
        <w:t>在本周经历持续探底的极端行情后，6月最后一个交易日两市双双迎来强势反弹，一扫此前几个交易日的阴霾，题材股全线爆发，创业板指收复1600点，大涨超4%。沪指本月跌8.01%，今年上半年跌13.90%。午后，药明康德封涨停。监管打压高送转炒作难挡资金热情，三联虹普再涨停，收获四连板。半年报业绩披露的第一枪已经打响，拔得头筹的九华旅游一字板。截止收盘，沪指报2847.42点，涨幅2.17%，深成指报9379.47点，涨幅3.39%；创指报1606.71点，涨幅4.08%。</w:t>
      </w:r>
    </w:p>
    <w:p>
      <w:pPr>
        <w:spacing w:before="156" w:after="156" w:line="240" w:lineRule="exact"/>
        <w:ind w:left="2415" w:leftChars="1150"/>
        <w:rPr>
          <w:rFonts w:ascii="Calibri" w:hAnsi="Calibri" w:eastAsia="楷体" w:cs="Calibri"/>
        </w:rPr>
      </w:pPr>
      <w:r>
        <w:rPr>
          <w:rFonts w:hint="eastAsia" w:ascii="Calibri" w:hAnsi="Calibri" w:eastAsia="楷体" w:cs="Calibri"/>
        </w:rPr>
        <w:t>上半年行情最终收官，沪指半年跌13.9%，期间最大跌幅为16%。</w:t>
      </w:r>
    </w:p>
    <w:p>
      <w:pPr>
        <w:spacing w:before="156" w:after="156" w:line="240" w:lineRule="exact"/>
        <w:ind w:left="2415" w:leftChars="1150"/>
        <w:rPr>
          <w:rFonts w:ascii="Calibri" w:hAnsi="Calibri" w:eastAsia="楷体" w:cs="Calibri"/>
        </w:rPr>
      </w:pPr>
      <w:r>
        <w:rPr>
          <w:rFonts w:hint="eastAsia" w:ascii="Calibri" w:hAnsi="Calibri" w:eastAsia="楷体" w:cs="Calibri"/>
        </w:rPr>
        <w:t>截至2018年6月22日，所有的宽基指数收益均为负值，下跌幅度最小的是大市值指数：中证100（-8%）、上证50（-10%）和沪深300（-10%），下跌幅度最大的是中小市值指数：中证1000（-21%）、中证500（-17%）。从上涨和下跌数量来看，全部A股中有84%的个股是下跌的，仅有16%的个股实现了上涨，从涨跌幅度的分布来看，下跌的个股中，51%的个股跌幅在20-50%之间，30%的个股跌幅在0-20%之间，3%的个股下跌超过50%，对于仅有的16%的上涨个股，有10%的个股涨幅在0-20%之间，4%的个股涨幅在20-50%之间，仅有2%的个股涨幅超过50%。所以说，无论是从指数的涨跌幅还是从上涨和下跌的数量上来看，上半年的市场都是一个不折不扣的熊市。</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市场逐渐出现长线买入机会</w:t>
      </w:r>
    </w:p>
    <w:p>
      <w:pPr>
        <w:spacing w:before="156" w:after="156" w:line="240" w:lineRule="exact"/>
        <w:ind w:left="2415" w:leftChars="1150"/>
        <w:rPr>
          <w:rFonts w:ascii="Calibri" w:hAnsi="Calibri" w:eastAsia="楷体" w:cs="Calibri"/>
        </w:rPr>
      </w:pPr>
      <w:r>
        <w:rPr>
          <w:rFonts w:hint="eastAsia" w:ascii="Calibri" w:hAnsi="Calibri" w:eastAsia="楷体" w:cs="Calibri"/>
        </w:rPr>
        <w:t>与历史底部比较，估值层面，全部A股PE中位数30.4倍，接近四次底部的平均水平27.5倍；低估值股票占比为55%，与四次底部时期均值55%一致。业绩层面，全部A股业绩增速中位数12.4%，高于四次底部时的均值8.8%；高增长公司占比44%，高于历史底部的均值40%。与海外市场比较，美国、英国、法国、德国、日本和中国香港市场指数PE历史均值16倍左右，巴西、印度、韩国、中国台湾、俄罗斯等新兴市场PE历史均值是13倍左右。目前，上证50PE10.2倍，沪深300PE12.2倍、上证综指PE13倍，均低于海外市场当前及历史均值。而未来5-10年，我国经济增速远高于这些国家和地区。成长的溢价比较，成长股与蓝筹股的相对溢价，美国均值是2.3倍、目前是1.3倍，日本均值是1.5倍、目前是1.4倍；我们均值是4.4倍，目前是3.0倍，比美日要高。但是绝对溢价，美国是1.2倍，日本是1.9倍，我们是1.8倍，介于美日之间。。</w:t>
      </w:r>
    </w:p>
    <w:p>
      <w:pPr>
        <w:spacing w:before="156" w:after="156" w:line="240" w:lineRule="exact"/>
        <w:ind w:left="2415" w:leftChars="1150"/>
        <w:rPr>
          <w:rFonts w:ascii="Calibri" w:hAnsi="Calibri" w:eastAsia="楷体" w:cs="Calibri"/>
        </w:rPr>
      </w:pPr>
      <w:r>
        <w:rPr>
          <w:rFonts w:hint="eastAsia" w:ascii="Calibri" w:hAnsi="Calibri" w:eastAsia="楷体" w:cs="Calibri"/>
        </w:rPr>
        <w:t>当前，全部A股高增长股票占比高于历史底部。2005年6月、2008年10月、2013年6月、2016年1月的市场底部时，业绩增速20%以上的高增长股票占比分别是37%、47%、38%、39%，均值是40%，目前全部A股高增长股票占比是44%。即便考虑小盘股占比上升的影响，目前高增长股票占比也是历史底部水平之上。</w:t>
      </w:r>
    </w:p>
    <w:p>
      <w:pPr>
        <w:spacing w:before="156" w:after="156" w:line="240" w:lineRule="exact"/>
        <w:ind w:left="2415" w:leftChars="1150"/>
        <w:rPr>
          <w:rFonts w:ascii="Calibri" w:hAnsi="Calibri" w:eastAsia="楷体" w:cs="Calibri"/>
        </w:rPr>
      </w:pPr>
      <w:r>
        <w:rPr>
          <w:rFonts w:hint="eastAsia" w:ascii="Calibri" w:hAnsi="Calibri" w:eastAsia="楷体" w:cs="Calibri"/>
        </w:rPr>
        <w:t>估值已是历史底部，可乐观看待未来。从市场总体估值水平、低估值股票占比、市场总体业绩增速、高增长股票占比等几个指标来看，目前A股的估值都是历史底部水平。近期，市场因为情绪的因素而大幅波动，价值是永恒的，估值底是最重要的底部之一。当前，A股估值已经是历史偏底部水平，投资者可以乐观看待未来。</w:t>
      </w: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55" w:name="_Toc513836620"/>
                  <w:bookmarkStart w:id="56" w:name="_Toc51383669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融资融券数据图</w:t>
                  </w:r>
                  <w:bookmarkEnd w:id="55"/>
                  <w:bookmarkEnd w:id="56"/>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57" w:name="_Toc513836621"/>
                  <w:bookmarkStart w:id="58" w:name="_Toc51383669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8</w:t>
                  </w:r>
                  <w:r>
                    <w:rPr>
                      <w:rFonts w:ascii="楷体" w:hAnsi="楷体" w:eastAsia="楷体"/>
                      <w:i/>
                      <w:color w:val="002060"/>
                    </w:rPr>
                    <w:fldChar w:fldCharType="end"/>
                  </w:r>
                  <w:r>
                    <w:rPr>
                      <w:rFonts w:hint="eastAsia" w:ascii="楷体" w:hAnsi="楷体" w:eastAsia="楷体"/>
                      <w:i/>
                      <w:color w:val="002060"/>
                    </w:rPr>
                    <w:t>：合约持仓和市场表现</w:t>
                  </w:r>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 o:spid="_x0000_s1033" type="#_x0000_t75" style="height:141.75pt;width:226.75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 o:spid="_x0000_s1034" type="#_x0000_t75" style="height:141.75pt;width:226.75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59" w:name="_Toc513836622"/>
                  <w:bookmarkStart w:id="60" w:name="_Toc513836693"/>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恒生AH溢价指数</w:t>
                  </w:r>
                  <w:bookmarkEnd w:id="59"/>
                  <w:bookmarkEnd w:id="60"/>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61" w:name="_Toc513836623"/>
                  <w:bookmarkStart w:id="62" w:name="_Toc51383669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10</w:t>
                  </w:r>
                  <w:r>
                    <w:rPr>
                      <w:rFonts w:ascii="楷体" w:hAnsi="楷体" w:eastAsia="楷体"/>
                      <w:i/>
                      <w:color w:val="002060"/>
                    </w:rPr>
                    <w:fldChar w:fldCharType="end"/>
                  </w:r>
                  <w:r>
                    <w:rPr>
                      <w:rFonts w:hint="eastAsia" w:ascii="楷体" w:hAnsi="楷体" w:eastAsia="楷体"/>
                      <w:i/>
                      <w:color w:val="002060"/>
                    </w:rPr>
                    <w:t>：工业企业运行情况</w:t>
                  </w:r>
                  <w:bookmarkEnd w:id="61"/>
                  <w:bookmarkEnd w:id="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11" o:spid="_x0000_s1035" type="#_x0000_t75" style="height:170.1pt;width:226.75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 o:spid="_x0000_s1036" type="#_x0000_t75" style="height:170.1pt;width:226.75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156"/>
        <w:ind w:left="420" w:firstLine="420"/>
        <w:jc w:val="left"/>
        <w:rPr>
          <w:rFonts w:ascii="Times New Roman" w:hAnsi="Times New Roman"/>
          <w:szCs w:val="21"/>
        </w:rPr>
      </w:pPr>
      <w:r>
        <w:rPr>
          <w:rFonts w:ascii="Times New Roman" w:hAnsi="Times New Roman"/>
          <w:szCs w:val="21"/>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63" w:name="_Toc511512994"/>
      <w:bookmarkStart w:id="64" w:name="_Toc470447719"/>
      <w:bookmarkStart w:id="65" w:name="_Toc511581200"/>
      <w:bookmarkStart w:id="66" w:name="_Toc513394764"/>
      <w:bookmarkStart w:id="67" w:name="_Toc513901728"/>
      <w:bookmarkStart w:id="68" w:name="_Toc518221397"/>
      <w:bookmarkStart w:id="69" w:name="_Toc511512882"/>
      <w:r>
        <w:rPr>
          <w:rFonts w:ascii="楷体" w:hAnsi="楷体" w:eastAsia="楷体" w:cs="黑体"/>
          <w:b/>
          <w:color w:val="C00000"/>
          <w:sz w:val="28"/>
          <w:szCs w:val="32"/>
        </w:rPr>
        <w:t>贵金属</w:t>
      </w:r>
      <w:bookmarkEnd w:id="63"/>
      <w:bookmarkEnd w:id="64"/>
      <w:bookmarkEnd w:id="65"/>
      <w:bookmarkEnd w:id="66"/>
      <w:bookmarkEnd w:id="67"/>
      <w:bookmarkEnd w:id="68"/>
      <w:bookmarkEnd w:id="69"/>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70" w:name="_Toc511512883"/>
      <w:bookmarkStart w:id="71" w:name="_Toc511512995"/>
      <w:bookmarkStart w:id="72" w:name="_Toc511581201"/>
      <w:bookmarkStart w:id="73" w:name="_Toc513394765"/>
      <w:bookmarkStart w:id="74" w:name="_Toc470447720"/>
      <w:bookmarkStart w:id="75" w:name="_Toc518221398"/>
      <w:bookmarkStart w:id="76" w:name="_Toc513901729"/>
      <w:r>
        <w:rPr>
          <w:rFonts w:ascii="楷体" w:hAnsi="楷体" w:eastAsia="楷体" w:cs="黑体"/>
          <w:b/>
          <w:color w:val="C00000"/>
          <w:sz w:val="24"/>
          <w:szCs w:val="32"/>
        </w:rPr>
        <w:t>1 行情回顾与下周展望</w:t>
      </w:r>
      <w:bookmarkEnd w:id="70"/>
      <w:bookmarkEnd w:id="71"/>
      <w:bookmarkEnd w:id="72"/>
      <w:bookmarkEnd w:id="73"/>
      <w:bookmarkEnd w:id="74"/>
      <w:bookmarkEnd w:id="75"/>
      <w:bookmarkEnd w:id="76"/>
    </w:p>
    <w:p>
      <w:pPr>
        <w:spacing w:before="156" w:after="156" w:line="240" w:lineRule="exact"/>
        <w:ind w:left="2415" w:leftChars="1150"/>
        <w:rPr>
          <w:rFonts w:ascii="Calibri" w:hAnsi="Calibri" w:eastAsia="楷体" w:cs="Calibri"/>
        </w:rPr>
      </w:pPr>
      <w:r>
        <w:rPr>
          <w:rFonts w:hint="eastAsia" w:ascii="Calibri" w:hAnsi="Calibri" w:eastAsia="楷体" w:cs="Calibri"/>
        </w:rPr>
        <w:t>本周贵金属继续下挫，伦金下跌1.37%，收于1252.40，伦银下跌1.88%，收于16.10。</w:t>
      </w:r>
    </w:p>
    <w:p>
      <w:pPr>
        <w:spacing w:before="156" w:after="156" w:line="240" w:lineRule="exact"/>
        <w:ind w:left="2415" w:leftChars="1150"/>
        <w:rPr>
          <w:rFonts w:ascii="Calibri" w:hAnsi="Calibri" w:eastAsia="楷体" w:cs="Calibri"/>
        </w:rPr>
      </w:pPr>
      <w:r>
        <w:rPr>
          <w:rFonts w:hint="eastAsia" w:ascii="Calibri" w:hAnsi="Calibri" w:eastAsia="楷体" w:cs="Calibri"/>
        </w:rPr>
        <w:t>本周，贵金属继续受到美元走强压制，但周五欧盟就移民问题达成一项协议，欧盟成员国必须在自愿基础上分担移民问题，并在解救海上移民问题上分担责任。欧盟必须保证有效控制外部边境，并逐步遣返非法移民。欧盟领导人同意，在自愿基础上在欧盟内建立新的地中海移民中心，意大利与希腊可以根据自己的意愿建立移民接纳中心。目前欧盟已同意给土耳其第二笔30亿欧元的款项来处理叙利亚难民问题。欧盟在移民问题上达成协议，给市场吃了一颗定心丸，欧元因此大幅反弹，美元重挫，贵金属也乘机反弹。</w:t>
      </w:r>
    </w:p>
    <w:p>
      <w:pPr>
        <w:spacing w:before="156" w:after="156" w:line="240" w:lineRule="exact"/>
        <w:ind w:left="2415" w:leftChars="1150"/>
        <w:rPr>
          <w:rFonts w:ascii="Calibri" w:hAnsi="Calibri" w:eastAsia="楷体" w:cs="Calibri"/>
        </w:rPr>
      </w:pPr>
      <w:r>
        <w:rPr>
          <w:rFonts w:hint="eastAsia" w:ascii="Calibri" w:hAnsi="Calibri" w:eastAsia="楷体" w:cs="Calibri"/>
        </w:rPr>
        <w:t>贸易战方面，欧盟誓言对美国总统特朗普的保护主义作出坚定回击，暗示如果美国对汽车加征关税激化贸易战，欧盟准备采取报复行动；而美国著名机车制造商哈雷决定将部分产能搬迁至海外以规避欧盟的关税反击，令特朗普大为不满，直呼其为叛徒，事实上，哈雷仅仅是开了个头，后续料有更多企业效仿哈雷，原先还在观望的部分美国企业看到特朗普真要打贸易战，损害自身的利益，势必做出反击措施，可以说，特朗普仗还没真开打，后院就已经起火了，后续相信特朗普将面临国内实实在在的反对压力，压力之下，特朗普能否将转变立场，值得密切关注</w:t>
      </w:r>
    </w:p>
    <w:p>
      <w:pPr>
        <w:spacing w:before="156" w:after="156" w:line="240" w:lineRule="exact"/>
        <w:ind w:left="2415" w:leftChars="1150"/>
        <w:rPr>
          <w:rFonts w:ascii="Calibri" w:hAnsi="Calibri" w:eastAsia="楷体" w:cs="Calibri"/>
        </w:rPr>
      </w:pPr>
      <w:r>
        <w:rPr>
          <w:rFonts w:hint="eastAsia" w:ascii="Calibri" w:hAnsi="Calibri" w:eastAsia="楷体" w:cs="Calibri"/>
        </w:rPr>
        <w:t>中东方面，在特朗普威胁各国停止从伊朗进口原油后，伊朗做出强势反击，在最高领袖哈梅内伊的直接指示下，本周三（27日），伊朗宣布重启一座已经关闭九年的核电站。伊朗总统鲁哈尼周三(6月27日)表示会反抗美国制裁，并会“让美国屈服”。鲁哈尼说，“我们会面对问题，我们会承受压力，但我们绝不会牺牲独立自主的权利。”伊朗的强硬举措实在意料之中，中东局势面临进一步升级，后续仍需持续跟踪，尽管不太明显，贵金属受到中东局势的潜在支持。</w:t>
      </w:r>
    </w:p>
    <w:p>
      <w:pPr>
        <w:spacing w:before="156" w:after="156" w:line="240" w:lineRule="exact"/>
        <w:ind w:left="2415" w:leftChars="1150"/>
        <w:rPr>
          <w:rFonts w:ascii="Calibri" w:hAnsi="Calibri" w:eastAsia="楷体" w:cs="Calibri"/>
        </w:rPr>
      </w:pPr>
      <w:r>
        <w:rPr>
          <w:rFonts w:hint="eastAsia" w:ascii="Calibri" w:hAnsi="Calibri" w:eastAsia="楷体" w:cs="Calibri"/>
        </w:rPr>
        <w:t>周五的大跌给美元提出了警训，由于美元走强的因素现在已经基本明朗，利多可能出尽，美元走出调整的概率在加大，密切关注美元走势，不宜对金价走势过于悲观，如果美元延续调整，则贵金属近期将迎来反弹。</w:t>
      </w: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2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77" w:name="_Toc513836624"/>
                  <w:bookmarkStart w:id="78" w:name="_Toc51383669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11</w:t>
                  </w:r>
                  <w:r>
                    <w:rPr>
                      <w:rFonts w:ascii="楷体" w:hAnsi="楷体" w:eastAsia="楷体"/>
                      <w:i/>
                      <w:color w:val="002060"/>
                    </w:rPr>
                    <w:fldChar w:fldCharType="end"/>
                  </w:r>
                  <w:r>
                    <w:rPr>
                      <w:rFonts w:hint="eastAsia" w:ascii="楷体" w:hAnsi="楷体" w:eastAsia="楷体"/>
                      <w:i/>
                      <w:color w:val="002060"/>
                    </w:rPr>
                    <w:t>：</w:t>
                  </w:r>
                  <w:bookmarkEnd w:id="77"/>
                  <w:bookmarkEnd w:id="78"/>
                  <w:r>
                    <w:rPr>
                      <w:rFonts w:hint="eastAsia" w:ascii="楷体" w:hAnsi="楷体" w:eastAsia="楷体"/>
                      <w:i/>
                      <w:color w:val="002060"/>
                    </w:rPr>
                    <w:t>伦金走势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10250"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Times New Roman" w:hAnsi="Times New Roman" w:eastAsia="宋体" w:cs="Times New Roman"/>
                      <w:kern w:val="2"/>
                      <w:sz w:val="21"/>
                      <w:szCs w:val="22"/>
                      <w:lang w:val="en-US" w:eastAsia="zh-CN" w:bidi="ar-SA"/>
                    </w:rPr>
                    <w:pict>
                      <v:shape id="图片 2" o:spid="_x0000_s1037" type="#_x0000_t75" style="height:155.9pt;width:476.75pt;rotation:0f;" o:ole="f" fillcolor="#FFFFFF" filled="f" o:preferrelative="t" stroked="f" coordorigin="0,0" coordsize="21600,21600">
                        <v:fill on="f" color2="#FFFFFF" focus="0%"/>
                        <v:imagedata cropbottom="16022f" gain="65536f" blacklevel="0f" gamma="0" o:title="" r:id="rId23"/>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79" w:name="_Toc518221399"/>
      <w:bookmarkStart w:id="80" w:name="_Toc511512884"/>
      <w:bookmarkStart w:id="81" w:name="_Toc511512996"/>
      <w:bookmarkStart w:id="82" w:name="_Toc511581202"/>
      <w:bookmarkStart w:id="83" w:name="_Toc513394766"/>
      <w:bookmarkStart w:id="84" w:name="_Toc513901730"/>
      <w:r>
        <w:rPr>
          <w:rFonts w:ascii="楷体" w:hAnsi="楷体" w:eastAsia="楷体" w:cs="黑体"/>
          <w:b/>
          <w:color w:val="C00000"/>
          <w:sz w:val="24"/>
          <w:szCs w:val="32"/>
        </w:rPr>
        <w:t>2 下周公布的重要数据</w:t>
      </w:r>
      <w:bookmarkEnd w:id="79"/>
      <w:bookmarkEnd w:id="80"/>
      <w:bookmarkEnd w:id="81"/>
      <w:bookmarkEnd w:id="82"/>
      <w:bookmarkEnd w:id="83"/>
      <w:bookmarkEnd w:id="84"/>
    </w:p>
    <w:tbl>
      <w:tblPr>
        <w:tblStyle w:val="143"/>
        <w:tblW w:w="8950" w:type="dxa"/>
        <w:jc w:val="cente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Grid>
        <w:gridCol w:w="1582"/>
        <w:gridCol w:w="1000"/>
        <w:gridCol w:w="4245"/>
        <w:gridCol w:w="845"/>
        <w:gridCol w:w="1278"/>
      </w:tblGrid>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317" w:hRule="atLeast"/>
          <w:jc w:val="center"/>
        </w:trPr>
        <w:tc>
          <w:tcPr>
            <w:tcW w:w="1582" w:type="dxa"/>
            <w:tcBorders>
              <w:top w:val="single" w:color="4F81BD" w:sz="4" w:space="0"/>
              <w:left w:val="single" w:color="4F81BD" w:sz="4" w:space="0"/>
              <w:bottom w:val="single" w:color="4F81BD" w:sz="4" w:space="0"/>
              <w:right w:val="single" w:color="4F81BD" w:sz="4" w:space="0"/>
            </w:tcBorders>
            <w:shd w:val="clear" w:color="auto" w:fill="4F81BD"/>
            <w:vAlign w:val="top"/>
          </w:tcPr>
          <w:p>
            <w:pPr>
              <w:spacing w:before="0" w:beforeLines="0" w:after="0" w:afterLines="0"/>
              <w:jc w:val="center"/>
              <w:rPr>
                <w:rFonts w:ascii="楷体" w:hAnsi="楷体" w:eastAsia="楷体"/>
                <w:b/>
                <w:bCs/>
                <w:color w:val="FFFFFF"/>
                <w:sz w:val="18"/>
                <w:szCs w:val="18"/>
              </w:rPr>
            </w:pPr>
            <w:r>
              <w:rPr>
                <w:rFonts w:ascii="楷体" w:hAnsi="楷体" w:eastAsia="楷体"/>
                <w:b/>
                <w:bCs/>
                <w:color w:val="FFFFFF"/>
                <w:sz w:val="18"/>
                <w:szCs w:val="18"/>
              </w:rPr>
              <w:t>时间</w:t>
            </w:r>
          </w:p>
        </w:tc>
        <w:tc>
          <w:tcPr>
            <w:tcW w:w="1000" w:type="dxa"/>
            <w:tcBorders>
              <w:top w:val="single" w:color="4F81BD" w:sz="4" w:space="0"/>
              <w:left w:val="single" w:color="4F81BD" w:sz="4" w:space="0"/>
              <w:bottom w:val="single" w:color="4F81BD" w:sz="4" w:space="0"/>
              <w:right w:val="single" w:color="4F81BD" w:sz="4" w:space="0"/>
            </w:tcBorders>
            <w:shd w:val="clear" w:color="auto" w:fill="4F81BD"/>
            <w:vAlign w:val="top"/>
          </w:tcPr>
          <w:p>
            <w:pPr>
              <w:spacing w:before="0" w:beforeLines="0" w:after="0" w:afterLines="0"/>
              <w:jc w:val="center"/>
              <w:rPr>
                <w:rFonts w:ascii="楷体" w:hAnsi="楷体" w:eastAsia="楷体"/>
                <w:b/>
                <w:bCs/>
                <w:color w:val="FFFFFF"/>
                <w:sz w:val="18"/>
                <w:szCs w:val="18"/>
              </w:rPr>
            </w:pPr>
            <w:r>
              <w:rPr>
                <w:rFonts w:ascii="楷体" w:hAnsi="楷体" w:eastAsia="楷体"/>
                <w:b/>
                <w:bCs/>
                <w:color w:val="FFFFFF"/>
                <w:sz w:val="18"/>
                <w:szCs w:val="18"/>
              </w:rPr>
              <w:t>国家</w:t>
            </w:r>
          </w:p>
        </w:tc>
        <w:tc>
          <w:tcPr>
            <w:tcW w:w="4245" w:type="dxa"/>
            <w:tcBorders>
              <w:top w:val="single" w:color="4F81BD" w:sz="4" w:space="0"/>
              <w:left w:val="single" w:color="4F81BD" w:sz="4" w:space="0"/>
              <w:bottom w:val="single" w:color="4F81BD" w:sz="4" w:space="0"/>
              <w:right w:val="single" w:color="4F81BD" w:sz="4" w:space="0"/>
            </w:tcBorders>
            <w:shd w:val="clear" w:color="auto" w:fill="4F81BD"/>
            <w:vAlign w:val="top"/>
          </w:tcPr>
          <w:p>
            <w:pPr>
              <w:spacing w:before="0" w:beforeLines="0" w:after="0" w:afterLines="0"/>
              <w:jc w:val="center"/>
              <w:rPr>
                <w:rFonts w:ascii="楷体" w:hAnsi="楷体" w:eastAsia="楷体"/>
                <w:b/>
                <w:bCs/>
                <w:color w:val="FFFFFF"/>
                <w:sz w:val="18"/>
                <w:szCs w:val="18"/>
              </w:rPr>
            </w:pPr>
            <w:r>
              <w:rPr>
                <w:rFonts w:ascii="楷体" w:hAnsi="楷体" w:eastAsia="楷体"/>
                <w:b/>
                <w:bCs/>
                <w:color w:val="FFFFFF"/>
                <w:sz w:val="18"/>
                <w:szCs w:val="18"/>
              </w:rPr>
              <w:t>指标名称</w:t>
            </w:r>
          </w:p>
        </w:tc>
        <w:tc>
          <w:tcPr>
            <w:tcW w:w="845" w:type="dxa"/>
            <w:tcBorders>
              <w:top w:val="single" w:color="4F81BD" w:sz="4" w:space="0"/>
              <w:left w:val="single" w:color="4F81BD" w:sz="4" w:space="0"/>
              <w:bottom w:val="single" w:color="4F81BD" w:sz="4" w:space="0"/>
              <w:right w:val="single" w:color="4F81BD" w:sz="4" w:space="0"/>
            </w:tcBorders>
            <w:shd w:val="clear" w:color="auto" w:fill="4F81BD"/>
            <w:vAlign w:val="top"/>
          </w:tcPr>
          <w:p>
            <w:pPr>
              <w:spacing w:before="0" w:beforeLines="0" w:after="0" w:afterLines="0"/>
              <w:jc w:val="center"/>
              <w:rPr>
                <w:rFonts w:ascii="楷体" w:hAnsi="楷体" w:eastAsia="楷体"/>
                <w:b/>
                <w:bCs/>
                <w:color w:val="FFFFFF"/>
                <w:sz w:val="18"/>
                <w:szCs w:val="18"/>
              </w:rPr>
            </w:pPr>
            <w:r>
              <w:rPr>
                <w:rFonts w:ascii="楷体" w:hAnsi="楷体" w:eastAsia="楷体"/>
                <w:b/>
                <w:bCs/>
                <w:color w:val="FFFFFF"/>
                <w:sz w:val="18"/>
                <w:szCs w:val="18"/>
              </w:rPr>
              <w:t>前值</w:t>
            </w:r>
          </w:p>
        </w:tc>
        <w:tc>
          <w:tcPr>
            <w:tcW w:w="1278" w:type="dxa"/>
            <w:tcBorders>
              <w:top w:val="single" w:color="4F81BD" w:sz="4" w:space="0"/>
              <w:left w:val="single" w:color="4F81BD" w:sz="4" w:space="0"/>
              <w:bottom w:val="single" w:color="4F81BD" w:sz="4" w:space="0"/>
              <w:right w:val="single" w:color="4F81BD" w:sz="4" w:space="0"/>
            </w:tcBorders>
            <w:shd w:val="clear" w:color="auto" w:fill="4F81BD"/>
            <w:vAlign w:val="top"/>
          </w:tcPr>
          <w:p>
            <w:pPr>
              <w:spacing w:before="0" w:beforeLines="0" w:after="0" w:afterLines="0"/>
              <w:jc w:val="center"/>
              <w:rPr>
                <w:rFonts w:ascii="楷体" w:hAnsi="楷体" w:eastAsia="楷体"/>
                <w:b/>
                <w:bCs/>
                <w:color w:val="FFFFFF"/>
                <w:sz w:val="18"/>
                <w:szCs w:val="18"/>
              </w:rPr>
            </w:pPr>
            <w:r>
              <w:rPr>
                <w:rFonts w:ascii="楷体" w:hAnsi="楷体" w:eastAsia="楷体"/>
                <w:b/>
                <w:bCs/>
                <w:color w:val="FFFFFF"/>
                <w:sz w:val="18"/>
                <w:szCs w:val="18"/>
              </w:rPr>
              <w:t>预期值</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87" w:hRule="atLeast"/>
          <w:jc w:val="center"/>
        </w:trPr>
        <w:tc>
          <w:tcPr>
            <w:tcW w:w="1582" w:type="dxa"/>
            <w:shd w:val="clear" w:color="auto" w:fill="DBE5F1"/>
            <w:vAlign w:val="top"/>
          </w:tcPr>
          <w:p>
            <w:pPr>
              <w:spacing w:before="0" w:beforeLines="0" w:after="0" w:afterLines="0"/>
              <w:jc w:val="center"/>
              <w:rPr>
                <w:rFonts w:ascii="楷体" w:hAnsi="楷体" w:eastAsia="楷体"/>
                <w:b/>
                <w:bCs/>
                <w:sz w:val="18"/>
                <w:szCs w:val="18"/>
              </w:rPr>
            </w:pPr>
            <w:r>
              <w:rPr>
                <w:rFonts w:hint="eastAsia" w:ascii="楷体" w:hAnsi="楷体" w:eastAsia="楷体"/>
                <w:b/>
                <w:bCs/>
                <w:sz w:val="18"/>
                <w:szCs w:val="18"/>
              </w:rPr>
              <w:t>7.</w:t>
            </w:r>
            <w:r>
              <w:rPr>
                <w:rFonts w:ascii="楷体" w:hAnsi="楷体" w:eastAsia="楷体"/>
                <w:b/>
                <w:bCs/>
                <w:sz w:val="18"/>
                <w:szCs w:val="18"/>
              </w:rPr>
              <w:t>2-21</w:t>
            </w:r>
            <w:r>
              <w:rPr>
                <w:rFonts w:hint="eastAsia" w:ascii="楷体" w:hAnsi="楷体" w:eastAsia="楷体"/>
                <w:b/>
                <w:bCs/>
                <w:sz w:val="18"/>
                <w:szCs w:val="18"/>
              </w:rPr>
              <w:t>:45</w:t>
            </w:r>
          </w:p>
        </w:tc>
        <w:tc>
          <w:tcPr>
            <w:tcW w:w="1000" w:type="dxa"/>
            <w:shd w:val="clear" w:color="auto" w:fill="DBE5F1"/>
            <w:vAlign w:val="top"/>
          </w:tcPr>
          <w:p>
            <w:pPr>
              <w:spacing w:before="0" w:beforeLines="0" w:after="0" w:afterLines="0"/>
              <w:jc w:val="center"/>
              <w:rPr>
                <w:rFonts w:ascii="楷体" w:hAnsi="楷体" w:eastAsia="楷体"/>
                <w:sz w:val="18"/>
                <w:szCs w:val="18"/>
              </w:rPr>
            </w:pPr>
            <w:r>
              <w:rPr>
                <w:rFonts w:ascii="楷体" w:hAnsi="楷体" w:eastAsia="楷体"/>
                <w:sz w:val="18"/>
                <w:szCs w:val="18"/>
              </w:rPr>
              <w:t>美国</w:t>
            </w:r>
          </w:p>
        </w:tc>
        <w:tc>
          <w:tcPr>
            <w:tcW w:w="4245" w:type="dxa"/>
            <w:shd w:val="clear" w:color="auto" w:fill="DBE5F1"/>
            <w:vAlign w:val="top"/>
          </w:tcPr>
          <w:p>
            <w:pPr>
              <w:spacing w:before="0" w:beforeLines="0" w:after="0" w:afterLines="0"/>
              <w:jc w:val="center"/>
              <w:rPr>
                <w:rFonts w:ascii="楷体" w:hAnsi="楷体" w:eastAsia="楷体"/>
                <w:color w:val="000000"/>
                <w:sz w:val="18"/>
                <w:szCs w:val="18"/>
              </w:rPr>
            </w:pPr>
            <w:r>
              <w:rPr>
                <w:rFonts w:hint="eastAsia" w:ascii="楷体" w:hAnsi="楷体" w:eastAsia="楷体"/>
                <w:color w:val="000000"/>
                <w:sz w:val="18"/>
                <w:szCs w:val="18"/>
              </w:rPr>
              <w:t>美国6月Markit制造业PMI终值</w:t>
            </w:r>
          </w:p>
        </w:tc>
        <w:tc>
          <w:tcPr>
            <w:tcW w:w="845" w:type="dxa"/>
            <w:shd w:val="clear" w:color="auto" w:fill="DBE5F1"/>
            <w:vAlign w:val="top"/>
          </w:tcPr>
          <w:p>
            <w:pPr>
              <w:spacing w:before="0" w:beforeLines="0" w:after="0" w:afterLines="0"/>
              <w:ind w:firstLine="180" w:firstLineChars="100"/>
              <w:jc w:val="center"/>
              <w:rPr>
                <w:rFonts w:ascii="楷体" w:hAnsi="楷体" w:eastAsia="楷体"/>
                <w:sz w:val="18"/>
                <w:szCs w:val="18"/>
              </w:rPr>
            </w:pPr>
            <w:r>
              <w:rPr>
                <w:rFonts w:hint="eastAsia" w:ascii="楷体" w:hAnsi="楷体" w:eastAsia="楷体"/>
                <w:sz w:val="18"/>
                <w:szCs w:val="18"/>
              </w:rPr>
              <w:t>54</w:t>
            </w:r>
            <w:r>
              <w:rPr>
                <w:rFonts w:ascii="楷体" w:hAnsi="楷体" w:eastAsia="楷体"/>
                <w:sz w:val="18"/>
                <w:szCs w:val="18"/>
              </w:rPr>
              <w:t>.6</w:t>
            </w:r>
          </w:p>
        </w:tc>
        <w:tc>
          <w:tcPr>
            <w:tcW w:w="1278" w:type="dxa"/>
            <w:shd w:val="clear" w:color="auto" w:fill="DBE5F1"/>
            <w:vAlign w:val="top"/>
          </w:tcPr>
          <w:p>
            <w:pPr>
              <w:spacing w:before="0" w:beforeLines="0" w:after="0" w:afterLines="0"/>
              <w:jc w:val="center"/>
              <w:rPr>
                <w:rFonts w:ascii="楷体" w:hAnsi="楷体" w:eastAsia="楷体"/>
                <w:sz w:val="18"/>
                <w:szCs w:val="18"/>
              </w:rPr>
            </w:pPr>
            <w:r>
              <w:rPr>
                <w:rFonts w:hint="eastAsia" w:ascii="楷体" w:hAnsi="楷体" w:eastAsia="楷体"/>
                <w:sz w:val="18"/>
                <w:szCs w:val="18"/>
              </w:rPr>
              <w:t>-</w:t>
            </w:r>
            <w:r>
              <w:rPr>
                <w:rFonts w:ascii="楷体" w:hAnsi="楷体" w:eastAsia="楷体"/>
                <w:sz w:val="18"/>
                <w:szCs w:val="18"/>
              </w:rPr>
              <w:t>0</w:t>
            </w:r>
            <w:r>
              <w:rPr>
                <w:rFonts w:hint="eastAsia" w:ascii="楷体" w:hAnsi="楷体" w:eastAsia="楷体"/>
                <w:sz w:val="18"/>
                <w:szCs w:val="18"/>
              </w:rPr>
              <w:t>.7</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87" w:hRule="atLeast"/>
          <w:jc w:val="center"/>
        </w:trPr>
        <w:tc>
          <w:tcPr>
            <w:tcW w:w="1582" w:type="dxa"/>
            <w:vAlign w:val="top"/>
          </w:tcPr>
          <w:p>
            <w:pPr>
              <w:spacing w:before="0" w:beforeLines="0" w:after="0" w:afterLines="0"/>
              <w:jc w:val="center"/>
              <w:rPr>
                <w:rFonts w:ascii="楷体" w:hAnsi="楷体" w:eastAsia="楷体"/>
                <w:b/>
                <w:bCs/>
                <w:sz w:val="18"/>
                <w:szCs w:val="18"/>
              </w:rPr>
            </w:pPr>
            <w:r>
              <w:rPr>
                <w:rFonts w:ascii="楷体" w:hAnsi="楷体" w:eastAsia="楷体"/>
                <w:b/>
                <w:bCs/>
                <w:sz w:val="18"/>
                <w:szCs w:val="18"/>
              </w:rPr>
              <w:t>7.3-22:00</w:t>
            </w:r>
          </w:p>
        </w:tc>
        <w:tc>
          <w:tcPr>
            <w:tcW w:w="1000" w:type="dxa"/>
            <w:vAlign w:val="top"/>
          </w:tcPr>
          <w:p>
            <w:pPr>
              <w:spacing w:before="0" w:beforeLines="0" w:after="0" w:afterLines="0"/>
              <w:jc w:val="center"/>
              <w:rPr>
                <w:rFonts w:ascii="楷体" w:hAnsi="楷体" w:eastAsia="楷体"/>
                <w:sz w:val="18"/>
                <w:szCs w:val="18"/>
              </w:rPr>
            </w:pPr>
            <w:r>
              <w:rPr>
                <w:rFonts w:hint="eastAsia" w:ascii="楷体" w:hAnsi="楷体" w:eastAsia="楷体"/>
                <w:sz w:val="18"/>
                <w:szCs w:val="18"/>
              </w:rPr>
              <w:t>美国</w:t>
            </w:r>
          </w:p>
        </w:tc>
        <w:tc>
          <w:tcPr>
            <w:tcW w:w="4245" w:type="dxa"/>
            <w:vAlign w:val="top"/>
          </w:tcPr>
          <w:p>
            <w:pPr>
              <w:spacing w:before="0" w:beforeLines="0" w:after="0" w:afterLines="0"/>
              <w:jc w:val="center"/>
              <w:rPr>
                <w:rFonts w:ascii="楷体" w:hAnsi="楷体" w:eastAsia="楷体"/>
                <w:color w:val="000000"/>
                <w:sz w:val="18"/>
                <w:szCs w:val="18"/>
              </w:rPr>
            </w:pPr>
            <w:r>
              <w:rPr>
                <w:rFonts w:hint="eastAsia" w:ascii="楷体" w:hAnsi="楷体" w:eastAsia="楷体"/>
                <w:color w:val="000000"/>
                <w:sz w:val="18"/>
                <w:szCs w:val="18"/>
              </w:rPr>
              <w:t>美国5月工厂订单月率(%)</w:t>
            </w:r>
          </w:p>
        </w:tc>
        <w:tc>
          <w:tcPr>
            <w:tcW w:w="845" w:type="dxa"/>
            <w:vAlign w:val="top"/>
          </w:tcPr>
          <w:p>
            <w:pPr>
              <w:spacing w:before="0" w:beforeLines="0" w:after="0" w:afterLines="0"/>
              <w:ind w:firstLine="90" w:firstLineChars="50"/>
              <w:jc w:val="center"/>
              <w:rPr>
                <w:rFonts w:ascii="楷体" w:hAnsi="楷体" w:eastAsia="楷体"/>
                <w:sz w:val="18"/>
                <w:szCs w:val="18"/>
              </w:rPr>
            </w:pPr>
            <w:r>
              <w:rPr>
                <w:rFonts w:hint="eastAsia" w:ascii="楷体" w:hAnsi="楷体" w:eastAsia="楷体"/>
                <w:sz w:val="18"/>
                <w:szCs w:val="18"/>
              </w:rPr>
              <w:t>-</w:t>
            </w:r>
            <w:r>
              <w:rPr>
                <w:rFonts w:ascii="楷体" w:hAnsi="楷体" w:eastAsia="楷体"/>
                <w:sz w:val="18"/>
                <w:szCs w:val="18"/>
              </w:rPr>
              <w:t>0</w:t>
            </w:r>
            <w:r>
              <w:rPr>
                <w:rFonts w:hint="eastAsia" w:ascii="楷体" w:hAnsi="楷体" w:eastAsia="楷体"/>
                <w:sz w:val="18"/>
                <w:szCs w:val="18"/>
              </w:rPr>
              <w:t>.</w:t>
            </w:r>
            <w:r>
              <w:rPr>
                <w:rFonts w:ascii="楷体" w:hAnsi="楷体" w:eastAsia="楷体"/>
                <w:sz w:val="18"/>
                <w:szCs w:val="18"/>
              </w:rPr>
              <w:t>8</w:t>
            </w:r>
          </w:p>
        </w:tc>
        <w:tc>
          <w:tcPr>
            <w:tcW w:w="1278" w:type="dxa"/>
            <w:vAlign w:val="top"/>
          </w:tcPr>
          <w:p>
            <w:pPr>
              <w:spacing w:before="0" w:beforeLines="0" w:after="0" w:afterLines="0"/>
              <w:jc w:val="center"/>
              <w:rPr>
                <w:rFonts w:ascii="楷体" w:hAnsi="楷体" w:eastAsia="楷体"/>
                <w:sz w:val="18"/>
                <w:szCs w:val="18"/>
              </w:rPr>
            </w:pPr>
            <w:r>
              <w:rPr>
                <w:rFonts w:hint="eastAsia" w:ascii="楷体" w:hAnsi="楷体" w:eastAsia="楷体"/>
                <w:sz w:val="18"/>
                <w:szCs w:val="18"/>
              </w:rPr>
              <w:t>-</w:t>
            </w:r>
            <w:r>
              <w:rPr>
                <w:rFonts w:ascii="楷体" w:hAnsi="楷体" w:eastAsia="楷体"/>
                <w:sz w:val="18"/>
                <w:szCs w:val="18"/>
              </w:rPr>
              <w:t>0</w:t>
            </w:r>
            <w:r>
              <w:rPr>
                <w:rFonts w:hint="eastAsia" w:ascii="楷体" w:hAnsi="楷体" w:eastAsia="楷体"/>
                <w:sz w:val="18"/>
                <w:szCs w:val="18"/>
              </w:rPr>
              <w:t>.2</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87" w:hRule="atLeast"/>
          <w:jc w:val="center"/>
        </w:trPr>
        <w:tc>
          <w:tcPr>
            <w:tcW w:w="1582" w:type="dxa"/>
            <w:shd w:val="clear" w:color="auto" w:fill="DBE5F1"/>
            <w:vAlign w:val="top"/>
          </w:tcPr>
          <w:p>
            <w:pPr>
              <w:spacing w:before="0" w:beforeLines="0" w:after="0" w:afterLines="0"/>
              <w:jc w:val="center"/>
              <w:rPr>
                <w:rFonts w:ascii="楷体" w:hAnsi="楷体" w:eastAsia="楷体"/>
                <w:b/>
                <w:bCs/>
                <w:sz w:val="18"/>
                <w:szCs w:val="18"/>
              </w:rPr>
            </w:pPr>
            <w:r>
              <w:rPr>
                <w:rFonts w:hint="eastAsia" w:ascii="楷体" w:hAnsi="楷体" w:eastAsia="楷体"/>
                <w:b/>
                <w:bCs/>
                <w:sz w:val="18"/>
                <w:szCs w:val="18"/>
              </w:rPr>
              <w:t>7.</w:t>
            </w:r>
            <w:r>
              <w:rPr>
                <w:rFonts w:ascii="楷体" w:hAnsi="楷体" w:eastAsia="楷体"/>
                <w:b/>
                <w:bCs/>
                <w:sz w:val="18"/>
                <w:szCs w:val="18"/>
              </w:rPr>
              <w:t>5</w:t>
            </w:r>
            <w:r>
              <w:rPr>
                <w:rFonts w:hint="eastAsia" w:ascii="楷体" w:hAnsi="楷体" w:eastAsia="楷体"/>
                <w:b/>
                <w:bCs/>
                <w:sz w:val="18"/>
                <w:szCs w:val="18"/>
              </w:rPr>
              <w:t>-</w:t>
            </w:r>
            <w:r>
              <w:rPr>
                <w:rFonts w:ascii="楷体" w:hAnsi="楷体" w:eastAsia="楷体"/>
                <w:b/>
                <w:bCs/>
                <w:sz w:val="18"/>
                <w:szCs w:val="18"/>
              </w:rPr>
              <w:t>02</w:t>
            </w:r>
            <w:r>
              <w:rPr>
                <w:rFonts w:hint="eastAsia" w:ascii="楷体" w:hAnsi="楷体" w:eastAsia="楷体"/>
                <w:b/>
                <w:bCs/>
                <w:sz w:val="18"/>
                <w:szCs w:val="18"/>
              </w:rPr>
              <w:t>:00</w:t>
            </w:r>
          </w:p>
        </w:tc>
        <w:tc>
          <w:tcPr>
            <w:tcW w:w="1000" w:type="dxa"/>
            <w:shd w:val="clear" w:color="auto" w:fill="DBE5F1"/>
            <w:vAlign w:val="top"/>
          </w:tcPr>
          <w:p>
            <w:pPr>
              <w:spacing w:before="0" w:beforeLines="0" w:after="0" w:afterLines="0"/>
              <w:jc w:val="center"/>
              <w:rPr>
                <w:rFonts w:ascii="楷体" w:hAnsi="楷体" w:eastAsia="楷体"/>
                <w:sz w:val="18"/>
                <w:szCs w:val="18"/>
              </w:rPr>
            </w:pPr>
            <w:r>
              <w:rPr>
                <w:rFonts w:hint="eastAsia" w:ascii="楷体" w:hAnsi="楷体" w:eastAsia="楷体"/>
                <w:sz w:val="18"/>
                <w:szCs w:val="18"/>
              </w:rPr>
              <w:t>美国</w:t>
            </w:r>
          </w:p>
        </w:tc>
        <w:tc>
          <w:tcPr>
            <w:tcW w:w="4245" w:type="dxa"/>
            <w:shd w:val="clear" w:color="auto" w:fill="DBE5F1"/>
            <w:vAlign w:val="top"/>
          </w:tcPr>
          <w:p>
            <w:pPr>
              <w:spacing w:before="0" w:beforeLines="0" w:after="0" w:afterLines="0"/>
              <w:jc w:val="center"/>
              <w:rPr>
                <w:rFonts w:ascii="楷体" w:hAnsi="楷体" w:eastAsia="楷体"/>
                <w:color w:val="FF0000"/>
                <w:sz w:val="18"/>
                <w:szCs w:val="18"/>
              </w:rPr>
            </w:pPr>
            <w:r>
              <w:rPr>
                <w:rFonts w:hint="eastAsia" w:ascii="楷体" w:hAnsi="楷体" w:eastAsia="楷体"/>
                <w:color w:val="FF0000"/>
                <w:sz w:val="18"/>
                <w:szCs w:val="18"/>
              </w:rPr>
              <w:t>美联储FOMC公布6月政策会议纪要</w:t>
            </w:r>
          </w:p>
        </w:tc>
        <w:tc>
          <w:tcPr>
            <w:tcW w:w="845" w:type="dxa"/>
            <w:shd w:val="clear" w:color="auto" w:fill="DBE5F1"/>
            <w:vAlign w:val="top"/>
          </w:tcPr>
          <w:p>
            <w:pPr>
              <w:spacing w:before="0" w:beforeLines="0" w:after="0" w:afterLines="0"/>
              <w:jc w:val="center"/>
              <w:rPr>
                <w:rFonts w:ascii="楷体" w:hAnsi="楷体" w:eastAsia="楷体"/>
                <w:sz w:val="18"/>
                <w:szCs w:val="18"/>
              </w:rPr>
            </w:pPr>
            <w:r>
              <w:rPr>
                <w:rFonts w:hint="eastAsia" w:ascii="楷体" w:hAnsi="楷体" w:eastAsia="楷体"/>
                <w:sz w:val="18"/>
                <w:szCs w:val="18"/>
              </w:rPr>
              <w:t>---</w:t>
            </w:r>
          </w:p>
        </w:tc>
        <w:tc>
          <w:tcPr>
            <w:tcW w:w="1278" w:type="dxa"/>
            <w:shd w:val="clear" w:color="auto" w:fill="DBE5F1"/>
            <w:vAlign w:val="top"/>
          </w:tcPr>
          <w:p>
            <w:pPr>
              <w:spacing w:before="0" w:beforeLines="0" w:after="0" w:afterLines="0"/>
              <w:jc w:val="center"/>
              <w:rPr>
                <w:rFonts w:ascii="楷体" w:hAnsi="楷体" w:eastAsia="楷体"/>
                <w:sz w:val="18"/>
                <w:szCs w:val="18"/>
              </w:rPr>
            </w:pPr>
            <w:r>
              <w:rPr>
                <w:rFonts w:hint="eastAsia" w:ascii="楷体" w:hAnsi="楷体" w:eastAsia="楷体"/>
                <w:sz w:val="18"/>
                <w:szCs w:val="18"/>
              </w:rPr>
              <w:t>---</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Ex>
        <w:trPr>
          <w:trHeight w:val="287" w:hRule="atLeast"/>
          <w:jc w:val="center"/>
        </w:trPr>
        <w:tc>
          <w:tcPr>
            <w:tcW w:w="1582" w:type="dxa"/>
            <w:vAlign w:val="top"/>
          </w:tcPr>
          <w:p>
            <w:pPr>
              <w:spacing w:before="0" w:beforeLines="0" w:after="0" w:afterLines="0"/>
              <w:jc w:val="center"/>
              <w:rPr>
                <w:rFonts w:ascii="楷体" w:hAnsi="楷体" w:eastAsia="楷体"/>
                <w:b/>
                <w:bCs/>
                <w:sz w:val="18"/>
                <w:szCs w:val="18"/>
              </w:rPr>
            </w:pPr>
            <w:r>
              <w:rPr>
                <w:rFonts w:hint="eastAsia" w:ascii="楷体" w:hAnsi="楷体" w:eastAsia="楷体"/>
                <w:b/>
                <w:bCs/>
                <w:sz w:val="18"/>
                <w:szCs w:val="18"/>
              </w:rPr>
              <w:t>7.</w:t>
            </w:r>
            <w:r>
              <w:rPr>
                <w:rFonts w:ascii="楷体" w:hAnsi="楷体" w:eastAsia="楷体"/>
                <w:b/>
                <w:bCs/>
                <w:sz w:val="18"/>
                <w:szCs w:val="18"/>
              </w:rPr>
              <w:t>5</w:t>
            </w:r>
            <w:r>
              <w:rPr>
                <w:rFonts w:hint="eastAsia" w:ascii="楷体" w:hAnsi="楷体" w:eastAsia="楷体"/>
                <w:b/>
                <w:bCs/>
                <w:sz w:val="18"/>
                <w:szCs w:val="18"/>
              </w:rPr>
              <w:t>-</w:t>
            </w:r>
            <w:r>
              <w:rPr>
                <w:rFonts w:ascii="楷体" w:hAnsi="楷体" w:eastAsia="楷体"/>
                <w:b/>
                <w:bCs/>
                <w:sz w:val="18"/>
                <w:szCs w:val="18"/>
              </w:rPr>
              <w:t>20</w:t>
            </w:r>
            <w:r>
              <w:rPr>
                <w:rFonts w:hint="eastAsia" w:ascii="楷体" w:hAnsi="楷体" w:eastAsia="楷体"/>
                <w:b/>
                <w:bCs/>
                <w:sz w:val="18"/>
                <w:szCs w:val="18"/>
              </w:rPr>
              <w:t>:30</w:t>
            </w:r>
          </w:p>
        </w:tc>
        <w:tc>
          <w:tcPr>
            <w:tcW w:w="1000" w:type="dxa"/>
            <w:vAlign w:val="top"/>
          </w:tcPr>
          <w:p>
            <w:pPr>
              <w:spacing w:before="0" w:beforeLines="0" w:after="0" w:afterLines="0"/>
              <w:jc w:val="center"/>
              <w:rPr>
                <w:rFonts w:ascii="楷体" w:hAnsi="楷体" w:eastAsia="楷体"/>
                <w:sz w:val="18"/>
                <w:szCs w:val="18"/>
              </w:rPr>
            </w:pPr>
            <w:r>
              <w:rPr>
                <w:rFonts w:hint="eastAsia" w:ascii="楷体" w:hAnsi="楷体" w:eastAsia="楷体"/>
                <w:sz w:val="18"/>
                <w:szCs w:val="18"/>
              </w:rPr>
              <w:t>美国</w:t>
            </w:r>
          </w:p>
        </w:tc>
        <w:tc>
          <w:tcPr>
            <w:tcW w:w="4245" w:type="dxa"/>
            <w:vAlign w:val="top"/>
          </w:tcPr>
          <w:p>
            <w:pPr>
              <w:spacing w:before="0" w:beforeLines="0" w:after="0" w:afterLines="0"/>
              <w:jc w:val="center"/>
              <w:rPr>
                <w:rFonts w:ascii="楷体" w:hAnsi="楷体" w:eastAsia="楷体"/>
                <w:color w:val="FF0000"/>
                <w:sz w:val="18"/>
                <w:szCs w:val="18"/>
              </w:rPr>
            </w:pPr>
            <w:r>
              <w:rPr>
                <w:rFonts w:hint="eastAsia" w:ascii="楷体" w:hAnsi="楷体" w:eastAsia="楷体"/>
                <w:color w:val="FF0000"/>
                <w:sz w:val="18"/>
                <w:szCs w:val="18"/>
              </w:rPr>
              <w:t>美国6月季调后非农就业人口变动(万)</w:t>
            </w:r>
          </w:p>
        </w:tc>
        <w:tc>
          <w:tcPr>
            <w:tcW w:w="845" w:type="dxa"/>
            <w:vAlign w:val="top"/>
          </w:tcPr>
          <w:p>
            <w:pPr>
              <w:spacing w:before="0" w:beforeLines="0" w:after="0" w:afterLines="0"/>
              <w:ind w:firstLine="180" w:firstLineChars="100"/>
              <w:jc w:val="center"/>
              <w:rPr>
                <w:rFonts w:ascii="楷体" w:hAnsi="楷体" w:eastAsia="楷体"/>
                <w:sz w:val="18"/>
                <w:szCs w:val="18"/>
              </w:rPr>
            </w:pPr>
            <w:r>
              <w:rPr>
                <w:rFonts w:ascii="楷体" w:hAnsi="楷体" w:eastAsia="楷体"/>
                <w:sz w:val="18"/>
                <w:szCs w:val="18"/>
              </w:rPr>
              <w:t>22.3</w:t>
            </w:r>
          </w:p>
        </w:tc>
        <w:tc>
          <w:tcPr>
            <w:tcW w:w="1278" w:type="dxa"/>
            <w:vAlign w:val="top"/>
          </w:tcPr>
          <w:p>
            <w:pPr>
              <w:spacing w:before="0" w:beforeLines="0" w:after="0" w:afterLines="0"/>
              <w:ind w:firstLine="360" w:firstLineChars="200"/>
              <w:jc w:val="center"/>
              <w:rPr>
                <w:rFonts w:ascii="楷体" w:hAnsi="楷体" w:eastAsia="楷体"/>
                <w:sz w:val="18"/>
                <w:szCs w:val="18"/>
              </w:rPr>
            </w:pPr>
            <w:r>
              <w:rPr>
                <w:rFonts w:ascii="楷体" w:hAnsi="楷体" w:eastAsia="楷体"/>
                <w:sz w:val="18"/>
                <w:szCs w:val="18"/>
              </w:rPr>
              <w:t>19.8</w:t>
            </w:r>
          </w:p>
        </w:tc>
      </w:tr>
    </w:tbl>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85" w:name="_Toc511512885"/>
      <w:bookmarkStart w:id="86" w:name="_Toc511512997"/>
      <w:bookmarkStart w:id="87" w:name="_Toc511581203"/>
      <w:bookmarkStart w:id="88" w:name="_Toc513394767"/>
      <w:bookmarkStart w:id="89" w:name="_Toc513901731"/>
      <w:bookmarkStart w:id="90" w:name="_Toc518221400"/>
      <w:r>
        <w:rPr>
          <w:rFonts w:ascii="楷体" w:hAnsi="楷体" w:eastAsia="楷体" w:cs="黑体"/>
          <w:b/>
          <w:color w:val="C00000"/>
          <w:sz w:val="24"/>
          <w:szCs w:val="32"/>
        </w:rPr>
        <w:t>3 持仓情况</w:t>
      </w:r>
      <w:bookmarkEnd w:id="85"/>
      <w:bookmarkEnd w:id="86"/>
      <w:bookmarkEnd w:id="87"/>
      <w:bookmarkEnd w:id="88"/>
      <w:bookmarkEnd w:id="89"/>
      <w:bookmarkEnd w:id="90"/>
    </w:p>
    <w:p>
      <w:pPr>
        <w:spacing w:before="156" w:after="156" w:line="240" w:lineRule="exact"/>
        <w:ind w:left="2415" w:leftChars="1150"/>
        <w:rPr>
          <w:rFonts w:ascii="Calibri" w:hAnsi="Calibri" w:eastAsia="楷体" w:cs="Calibri"/>
        </w:rPr>
      </w:pPr>
      <w:r>
        <w:rPr>
          <w:rFonts w:hint="eastAsia" w:ascii="Calibri" w:hAnsi="Calibri" w:eastAsia="楷体" w:cs="Calibri"/>
        </w:rPr>
        <w:t>从COMEX持仓情况来看，本周COMEX黄金非商业净多持仓为76672手，较上周减少19840手；COMEX白银非商业净多持仓34221手，较上周减少6681手。</w:t>
      </w: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91" w:name="_Toc513836696"/>
                  <w:bookmarkStart w:id="92" w:name="_Toc51383662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12</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COMEX黄金持仓</w:t>
                  </w:r>
                  <w:bookmarkEnd w:id="91"/>
                  <w:bookmarkEnd w:id="92"/>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93" w:name="_Toc513836626"/>
                  <w:bookmarkStart w:id="94" w:name="_Toc513836697"/>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13</w:t>
                  </w:r>
                  <w:r>
                    <w:rPr>
                      <w:rFonts w:ascii="楷体" w:hAnsi="楷体" w:eastAsia="楷体"/>
                      <w:i/>
                      <w:color w:val="002060"/>
                    </w:rPr>
                    <w:fldChar w:fldCharType="end"/>
                  </w:r>
                  <w:r>
                    <w:rPr>
                      <w:rFonts w:hint="eastAsia" w:ascii="楷体" w:hAnsi="楷体" w:eastAsia="楷体"/>
                      <w:i/>
                      <w:color w:val="002060"/>
                    </w:rPr>
                    <w:t>：COMEX白银持仓</w:t>
                  </w:r>
                  <w:bookmarkEnd w:id="93"/>
                  <w:bookmarkEnd w:id="9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32" o:spid="_x0000_s1038" type="#_x0000_t75" style="height:141.75pt;width:226.75pt;rotation:0f;" o:ole="f"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33" o:spid="_x0000_s1039" type="#_x0000_t75" style="height:141.75pt;width:226.75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0" w:lineRule="atLeast"/>
        <w:jc w:val="center"/>
        <w:rPr>
          <w:rFonts w:ascii="Times New Roman" w:hAnsi="Times New Roman"/>
          <w:b/>
          <w:sz w:val="10"/>
          <w:szCs w:val="10"/>
        </w:rPr>
      </w:pPr>
    </w:p>
    <w:p>
      <w:pPr>
        <w:spacing w:before="156" w:after="156" w:line="240" w:lineRule="exact"/>
        <w:ind w:left="2415" w:leftChars="1150"/>
        <w:rPr>
          <w:rFonts w:ascii="Calibri" w:hAnsi="Calibri" w:eastAsia="楷体" w:cs="Calibri"/>
        </w:rPr>
      </w:pPr>
      <w:r>
        <w:rPr>
          <w:rFonts w:hint="eastAsia" w:ascii="Calibri" w:hAnsi="Calibri" w:eastAsia="楷体" w:cs="Calibri"/>
        </w:rPr>
        <w:t>从ETF持仓情况看，本周末SPDR黄金持仓量为819.04吨，较上周减少5.59吨；本周末SLV白银持仓量10029.80吨，较上增加67.30吨。</w:t>
      </w: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95" w:name="_Toc513836627"/>
                  <w:bookmarkStart w:id="96" w:name="_Toc51383669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14</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黄金ETF持仓</w:t>
                  </w:r>
                  <w:bookmarkEnd w:id="95"/>
                  <w:bookmarkEnd w:id="96"/>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97" w:name="_Toc513836628"/>
                  <w:bookmarkStart w:id="98" w:name="_Toc51383669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15</w:t>
                  </w:r>
                  <w:r>
                    <w:rPr>
                      <w:rFonts w:ascii="楷体" w:hAnsi="楷体" w:eastAsia="楷体"/>
                      <w:i/>
                      <w:color w:val="002060"/>
                    </w:rPr>
                    <w:fldChar w:fldCharType="end"/>
                  </w:r>
                  <w:r>
                    <w:rPr>
                      <w:rFonts w:hint="eastAsia" w:ascii="楷体" w:hAnsi="楷体" w:eastAsia="楷体"/>
                      <w:i/>
                      <w:color w:val="002060"/>
                    </w:rPr>
                    <w:t>：白银ETF持仓</w:t>
                  </w:r>
                  <w:bookmarkEnd w:id="97"/>
                  <w:bookmarkEnd w:id="9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34" o:spid="_x0000_s1040" type="#_x0000_t75" style="height:141.75pt;width:226.75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35" o:spid="_x0000_s1041" type="#_x0000_t75" style="height:141.75pt;width:226.7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99" w:name="_Toc511512998"/>
      <w:bookmarkStart w:id="100" w:name="_Toc470447723"/>
      <w:bookmarkStart w:id="101" w:name="_Toc511512886"/>
      <w:bookmarkStart w:id="102" w:name="_Toc511581204"/>
      <w:bookmarkStart w:id="103" w:name="_Toc513394768"/>
      <w:bookmarkStart w:id="104" w:name="_Toc513901732"/>
      <w:bookmarkStart w:id="105" w:name="_Toc518221401"/>
      <w:r>
        <w:rPr>
          <w:rFonts w:ascii="楷体" w:hAnsi="楷体" w:eastAsia="楷体" w:cs="黑体"/>
          <w:b/>
          <w:color w:val="C00000"/>
          <w:sz w:val="24"/>
          <w:szCs w:val="32"/>
        </w:rPr>
        <w:t>4 总结与建议</w:t>
      </w:r>
      <w:bookmarkEnd w:id="99"/>
      <w:bookmarkEnd w:id="100"/>
      <w:bookmarkEnd w:id="101"/>
      <w:bookmarkEnd w:id="102"/>
      <w:bookmarkEnd w:id="103"/>
      <w:bookmarkEnd w:id="104"/>
      <w:bookmarkEnd w:id="105"/>
    </w:p>
    <w:p>
      <w:pPr>
        <w:spacing w:before="156" w:after="156" w:line="240" w:lineRule="exact"/>
        <w:ind w:left="2415" w:leftChars="1150"/>
        <w:rPr>
          <w:rFonts w:ascii="宋体" w:hAnsi="宋体" w:eastAsia="宋体"/>
          <w:sz w:val="20"/>
        </w:rPr>
      </w:pPr>
      <w:r>
        <w:rPr>
          <w:rFonts w:hint="eastAsia" w:ascii="Calibri" w:hAnsi="Calibri" w:eastAsia="楷体" w:cs="Calibri"/>
        </w:rPr>
        <w:t>本周贵金属继续下挫，伦金下跌1.37%，收于1252.40，伦银下跌1.88%，收于16.10。本周，贵金属继续受到美元走强压制，但周五欧盟就移民问题达成一项协议，欧盟成员国必须在自愿基础上分担移民问题，并在解救海上移民问题上分担责任。欧盟必须保证有效控制外部边境，并逐步遣返非法移民。欧盟在移民问题上取得进展，欧元受到有力提振，美元大幅下挫，贵金属因此跟随欧元反弹；贸易战方面，欧盟誓言对美国总统特朗普的保护主义作出坚定回击，暗示如果美国对汽车加征关税激化贸易战，欧盟准备采取报复行动；值得关注的是，伊朗毅然重启核电站以对抗美国的石油制裁措施，中东局势更趋紧张；周五的大跌给美元提出了警训，由于美元走强的因素现在已经基本明朗，利多可能出尽，美元走出调整的概率在加大，密切关注美元走势，不宜对金价走势过于悲观，如果美元延续调整，则贵金属近期将迎来反弹。</w:t>
      </w:r>
      <w:r>
        <w:rPr>
          <w:rFonts w:ascii="宋体" w:hAnsi="宋体" w:eastAsia="宋体"/>
          <w:sz w:val="20"/>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106" w:name="_Toc518221402"/>
      <w:r>
        <w:rPr>
          <w:rFonts w:hint="eastAsia" w:ascii="楷体" w:hAnsi="楷体" w:eastAsia="楷体" w:cs="黑体"/>
          <w:b/>
          <w:color w:val="C00000"/>
          <w:sz w:val="28"/>
          <w:szCs w:val="32"/>
        </w:rPr>
        <w:t>铜：维持震荡格局</w:t>
      </w:r>
      <w:bookmarkEnd w:id="106"/>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07" w:name="_Toc518221403"/>
      <w:r>
        <w:rPr>
          <w:rFonts w:hint="eastAsia" w:ascii="楷体" w:hAnsi="楷体" w:eastAsia="楷体" w:cs="黑体"/>
          <w:b/>
          <w:color w:val="C00000"/>
          <w:sz w:val="24"/>
          <w:szCs w:val="32"/>
        </w:rPr>
        <w:t>1</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基本面分析</w:t>
      </w:r>
      <w:bookmarkEnd w:id="107"/>
      <w:r>
        <w:rPr>
          <w:rFonts w:hint="eastAsia" w:ascii="楷体" w:hAnsi="楷体" w:eastAsia="楷体" w:cs="黑体"/>
          <w:b/>
          <w:color w:val="C00000"/>
          <w:sz w:val="24"/>
          <w:szCs w:val="32"/>
        </w:rPr>
        <w:t xml:space="preserve"> </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全球铜矿增速有限</w:t>
      </w:r>
    </w:p>
    <w:p>
      <w:pPr>
        <w:spacing w:before="156" w:after="156" w:line="240" w:lineRule="exact"/>
        <w:ind w:left="2415" w:leftChars="1150"/>
        <w:rPr>
          <w:rFonts w:ascii="Calibri" w:hAnsi="Calibri" w:eastAsia="楷体" w:cs="Calibri"/>
        </w:rPr>
      </w:pPr>
      <w:r>
        <w:rPr>
          <w:rFonts w:hint="eastAsia" w:ascii="Calibri" w:hAnsi="Calibri" w:eastAsia="楷体" w:cs="Calibri"/>
        </w:rPr>
        <w:t>根据国际铜业研究小组（ICSG）2018 年 4 月发布的最新预测，2018 年全球矿产铜产量预计将达到 2067 万吨，同比增长 3%，矿山产量增加主要来源于智利、印尼、刚果（金）、赞比亚等国。海外铜矿产量今年以来同比上升，有去年罢工带来的低基数原因，整体增量仍有限。数据层面看今年以来铜矿整体情况较宽裕，十大铜企 2018Q1铜产量合计同比上升13.86%，国内1-5月铜矿砂及精矿累计进口量也出现上升，主要是因为去年2月份必和必拓 Escondida铜矿出现罢工，导致去年基数较低。若去掉必和必拓，其他九大铜企2018Q1铜产量仅同比増 3.89%，供应增量仍较为有限。国内2018年5月份中国铜精矿生产商产量为5.27 万吨，较上月 6.05 万吨下滑12.8%，较去年同期 6.4 万吨减少7.6%。分省份来看，江西、安徽和湖北地区铜精矿生产商产量较上月持平，但云南地区由上月的5750吨降至1000吨，新疆地区则从上月的3800吨降为零.</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罢工风起，远未结束</w:t>
      </w:r>
    </w:p>
    <w:p>
      <w:pPr>
        <w:spacing w:before="156" w:after="156" w:line="240" w:lineRule="exact"/>
        <w:ind w:left="2415" w:leftChars="1150"/>
        <w:rPr>
          <w:rFonts w:ascii="Calibri" w:hAnsi="Calibri" w:eastAsia="楷体" w:cs="Calibri"/>
        </w:rPr>
      </w:pPr>
      <w:r>
        <w:rPr>
          <w:rFonts w:hint="eastAsia" w:ascii="Calibri" w:hAnsi="Calibri" w:eastAsia="楷体" w:cs="Calibri"/>
        </w:rPr>
        <w:t>劳工协议是目前铜精矿供应的最大不确定因素。焦点聚集在 Escondida 劳资谈判上，谈判结果如何将极大的影响铜市场以现在消息而言，虽然此前提前谈判并不顺利，双方很有可能互相妥协。Codelco 旗下工会数量众多， 除此次出现罢工风险的 3 家外，下半年仍有 6 家工会劳资合同到期，且其中部分工会此前对 Chuquicamata 矿山露天转为地下开采的开发方案已有不满，Codelco 后续罢工的发生概率在提升。下半年将进入铜企薪资谈判高峰，Cerro Verde、EI Teniente、Andina 等大型铜矿。随着近 期铜价突破 4 年新高，薪资谈判导致的罢工概率有升高的可能。据我 们测算表明，下半年面临薪资谈判的矿山2017年铜矿合计产量为131.86 万吨，约占全球矿铜产量的6.4%，几大矿山一旦出现罢工对产量端的冲击不容忽视。</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废铜供需两淡</w:t>
      </w:r>
    </w:p>
    <w:p>
      <w:pPr>
        <w:spacing w:before="156" w:after="156" w:line="240" w:lineRule="exact"/>
        <w:ind w:left="2415" w:leftChars="1150"/>
        <w:rPr>
          <w:rFonts w:ascii="Calibri" w:hAnsi="Calibri" w:eastAsia="楷体" w:cs="Calibri"/>
        </w:rPr>
      </w:pPr>
      <w:r>
        <w:rPr>
          <w:rFonts w:hint="eastAsia" w:ascii="Calibri" w:hAnsi="Calibri" w:eastAsia="楷体" w:cs="Calibri"/>
        </w:rPr>
        <w:t>废铜是2018 年影响供给的一个热点。2018 年4 月中国进口废铜 22.29 万吨，当月同比下滑 37.7%，累计进口 55.26 万吨，进口累计同比下降 39.10%。2018 年废 铜进口审批额度出现明显的收缩，目前已经公布的前 11 批费进口审批额度 47.01 万吨，较去年同期 减少 84.36%。尽管废七类占废铜进口量比例高，但是由于废七类含铜比例低，实际影响铜金属量并不大。相关企业主要加大了对国产再生铜的收购力度和对废六类的进口量，但由于货源比较分散以及国家政策限制，短期仍无法缓解废铜紧张的局面格局持续。根据海关总署数据，2018 年1-4月废铜进口总量为74万实物吨，同比下滑 38.5%。而2018 年前十三批废铜核定进口批文量为48.51万吨，同比去年下降83.86%，其中最近的第十三批核定进口量仅 2805 吨，不但没有放松反而在趋紧。5月废铜制杆企业开工率为68.69%，环比下降3.43%；预计6月废铜制杆企业开工率为66.33%，环比继续下滑2.36%。</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环保情绪升温，供给上出现萎缩</w:t>
      </w:r>
    </w:p>
    <w:p>
      <w:pPr>
        <w:spacing w:before="156" w:after="156" w:line="240" w:lineRule="exact"/>
        <w:ind w:left="2415" w:leftChars="1150"/>
        <w:rPr>
          <w:rFonts w:ascii="Calibri" w:hAnsi="Calibri" w:eastAsia="楷体" w:cs="Calibri"/>
        </w:rPr>
      </w:pPr>
      <w:r>
        <w:rPr>
          <w:rFonts w:hint="eastAsia" w:ascii="Calibri" w:hAnsi="Calibri" w:eastAsia="楷体" w:cs="Calibri"/>
        </w:rPr>
        <w:t>根据党中央、国务院批准，中央环境保护督察组将于近期陆续进驻河北、内蒙古、黑龙江、江苏、江西、河南、广东、广西、云南、宁夏等10省（区），对第一轮中央环境保护督察整改情况开展“回头看”。随着环保督查工作的开展，据SMM了解，铜加工厂受环保影响并不大，主要是废铜生产粗铜的企业受到影响。江西为产粗铜大省，主要集中在江西以北上饶、贵溪一带，江西 60 万吨废铜冶炼粗铜的产能半数将受到影响。</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精炼铜产量将走低</w:t>
      </w:r>
    </w:p>
    <w:p>
      <w:pPr>
        <w:spacing w:before="156" w:after="156" w:line="240" w:lineRule="exact"/>
        <w:ind w:left="2415" w:leftChars="1150"/>
        <w:rPr>
          <w:rFonts w:ascii="Calibri" w:hAnsi="Calibri" w:eastAsia="楷体" w:cs="Calibri"/>
        </w:rPr>
      </w:pPr>
      <w:r>
        <w:rPr>
          <w:rFonts w:hint="eastAsia" w:ascii="Calibri" w:hAnsi="Calibri" w:eastAsia="楷体" w:cs="Calibri"/>
        </w:rPr>
        <w:t>铜矿供应趋紧并未传导至精炼铜市场，精铜供应相对充裕。2018 年 5 月 SMM 中国精 铜产量为 74.73 万吨，环比增加 1.29%，同比增加 19.57%，2018 年 1-5 月累计产量为 360.36 万吨，360.36万吨，同比增长 13.4%，比去年同期增加超 40 万吨。与此同时未锻造得铜及 铜材进口同样大增，前五个月累计进口 215 万吨，同比增长 16.7%。</w:t>
      </w:r>
    </w:p>
    <w:p>
      <w:pPr>
        <w:spacing w:before="156" w:after="156" w:line="240" w:lineRule="exact"/>
        <w:ind w:left="2415" w:leftChars="1150"/>
        <w:rPr>
          <w:rFonts w:ascii="Calibri" w:hAnsi="Calibri" w:eastAsia="楷体" w:cs="Calibri"/>
        </w:rPr>
      </w:pPr>
      <w:r>
        <w:rPr>
          <w:rFonts w:hint="eastAsia" w:ascii="Calibri" w:hAnsi="Calibri" w:eastAsia="楷体" w:cs="Calibri"/>
        </w:rPr>
        <w:t>受环保影响，废铜原料供应有所不足，大型 60 万吨之上的冶炼企业产能利用率出现下降。另一方面，5-6月冶炼企业停产检修增多，SMM 调研资料显示，根据各炼厂 6 月排产，因环保及部分铜炼厂设备故障及检修.预计6月产量走低,支撑铜价。</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需求疲软</w:t>
      </w:r>
    </w:p>
    <w:p>
      <w:pPr>
        <w:spacing w:before="156" w:after="156" w:line="240" w:lineRule="exact"/>
        <w:ind w:left="2415" w:leftChars="1150"/>
        <w:rPr>
          <w:rFonts w:ascii="Calibri" w:hAnsi="Calibri" w:eastAsia="楷体" w:cs="Calibri"/>
        </w:rPr>
      </w:pPr>
      <w:r>
        <w:rPr>
          <w:rFonts w:hint="eastAsia" w:ascii="Calibri" w:hAnsi="Calibri" w:eastAsia="楷体" w:cs="Calibri"/>
        </w:rPr>
        <w:t>下游消费方面无亮点，5 月份铜杆企业开工率为 93.9%，同比增加 4.36 个百分比，主因来自下游电线电缆企业的需求走弱。因开工率下降，铜杆企业原料库存比略有下降为 10.47%，预计 6 月铜杆企业开工率为 78.61%。</w:t>
      </w:r>
    </w:p>
    <w:p>
      <w:pPr>
        <w:spacing w:before="156" w:after="156" w:line="240" w:lineRule="exact"/>
        <w:ind w:left="2415" w:leftChars="1150"/>
        <w:rPr>
          <w:rFonts w:ascii="Calibri" w:hAnsi="Calibri" w:eastAsia="楷体" w:cs="Calibri"/>
        </w:rPr>
      </w:pPr>
      <w:r>
        <w:rPr>
          <w:rFonts w:hint="eastAsia" w:ascii="Calibri" w:hAnsi="Calibri" w:eastAsia="楷体" w:cs="Calibri"/>
        </w:rPr>
        <w:t>电力行业占据铜消费的 45%左右。5 月投资完成额累计值 1414 亿元，累计同比-21.20%。均低于去年同期，但是根据国家电网投资规划，2018 年电网投资总额是略高于 2017 年的，所以2018 年下半年电网投资可能有较大增幅，铜价有望得到支撑。从电力的“十三五”规划文件来看，我国电力设施建设仍有增长空间，尤其是西电 东送的输电能力，年均复合增速将达到 14%。此外，新能源的出现对于电网的改造 和新增需求也较为可观，文件中明确规定了需要建设集中式换电站 1.2 万座，分布式 充电桩 480 万个，加上配套的设备建设，对于铜的需求提供支。</w:t>
      </w:r>
    </w:p>
    <w:p>
      <w:pPr>
        <w:spacing w:before="156" w:after="156" w:line="240" w:lineRule="exact"/>
        <w:ind w:left="2415" w:leftChars="1150"/>
        <w:rPr>
          <w:rFonts w:ascii="Calibri" w:hAnsi="Calibri" w:eastAsia="楷体" w:cs="Calibri"/>
        </w:rPr>
      </w:pPr>
      <w:r>
        <w:rPr>
          <w:rFonts w:hint="eastAsia" w:ascii="Calibri" w:hAnsi="Calibri" w:eastAsia="楷体" w:cs="Calibri"/>
        </w:rPr>
        <w:t>今年房地产投资存在超预期的可能性。5月房地产投资增速保持平稳，为10.2%，较上期仅回落0.1%。并且，5月房地产投资领先指标全面好转，商品房销售面积反弹1.6个百分点至2.9%，销售额面积反弹2.8个百分点至11.8%。受此影响，地产投资增速反弹3个百分点至5.1%，新开工面积反弹3.5个百分点至10.8%，达到1年以来的最高水平，土地购置面积回升至2.1%，今年以来增速首度转正。短期内，地产投资将继续保持较快增长。</w:t>
      </w:r>
    </w:p>
    <w:p>
      <w:pPr>
        <w:spacing w:before="156" w:after="156" w:line="240" w:lineRule="exact"/>
        <w:ind w:left="2415" w:leftChars="1150"/>
        <w:rPr>
          <w:rFonts w:ascii="Calibri" w:hAnsi="Calibri" w:eastAsia="楷体" w:cs="Calibri"/>
        </w:rPr>
      </w:pPr>
      <w:r>
        <w:rPr>
          <w:rFonts w:hint="eastAsia" w:ascii="Calibri" w:hAnsi="Calibri" w:eastAsia="楷体" w:cs="Calibri"/>
        </w:rPr>
        <w:t>中国铜的消费在空调,基础建设,以及国家电网投资增速放缓,都呈现疲软态势,无明显亮点。</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08" w:name="_Toc518221404"/>
      <w:r>
        <w:rPr>
          <w:rFonts w:hint="eastAsia" w:ascii="楷体" w:hAnsi="楷体" w:eastAsia="楷体" w:cs="黑体"/>
          <w:b/>
          <w:color w:val="C00000"/>
          <w:sz w:val="24"/>
          <w:szCs w:val="32"/>
        </w:rPr>
        <w:t>2</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供应短缺</w:t>
      </w:r>
      <w:bookmarkEnd w:id="108"/>
    </w:p>
    <w:p>
      <w:pPr>
        <w:spacing w:before="156" w:after="156" w:line="240" w:lineRule="exact"/>
        <w:ind w:left="2415" w:leftChars="1150"/>
        <w:rPr>
          <w:rFonts w:ascii="Calibri" w:hAnsi="Calibri" w:eastAsia="楷体" w:cs="Calibri"/>
        </w:rPr>
      </w:pPr>
      <w:r>
        <w:rPr>
          <w:rFonts w:hint="eastAsia" w:ascii="Calibri" w:hAnsi="Calibri" w:eastAsia="楷体" w:cs="Calibri"/>
        </w:rPr>
        <w:t>根据 ICSG 的报告预计2017年全球铜精矿产量1980.7 万吨，同比下降 2.7%，2017年全球精炼铜缺口为15.1万吨，2018年缺口为10.4 万吨。供应弹性已充分体现，而原料紧张之下，未来供应难以进一步增大；但目前需求面临收缩的风险，一旦预期落实，需求收缩或导致平衡表宽松。</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09" w:name="_Toc518221405"/>
      <w:r>
        <w:rPr>
          <w:rFonts w:hint="eastAsia" w:ascii="楷体" w:hAnsi="楷体" w:eastAsia="楷体" w:cs="黑体"/>
          <w:b/>
          <w:color w:val="C00000"/>
          <w:sz w:val="24"/>
          <w:szCs w:val="32"/>
        </w:rPr>
        <w:t>3</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结论：震荡思路</w:t>
      </w:r>
      <w:bookmarkEnd w:id="109"/>
    </w:p>
    <w:p>
      <w:pPr>
        <w:spacing w:before="156" w:after="156" w:line="240" w:lineRule="exact"/>
        <w:ind w:left="2415" w:leftChars="1150"/>
        <w:rPr>
          <w:rFonts w:ascii="Calibri" w:hAnsi="Calibri" w:eastAsia="楷体" w:cs="Calibri"/>
        </w:rPr>
      </w:pPr>
      <w:r>
        <w:rPr>
          <w:rFonts w:hint="eastAsia" w:ascii="Calibri" w:hAnsi="Calibri" w:eastAsia="楷体" w:cs="Calibri"/>
        </w:rPr>
        <w:t>缺乏大型铜矿投产、罢工、品位下降等因素使得大多数机构并没有改变未来几年铜矿供应偏紧的预期。当前环保督察组回头看，只江西 60 万吨废铜冶炼粗铜的产能半数将受到影响。而需求方面，房地产超出预期，目前家电尤其空调的产销超预期，加上下半年的电网投资可能有较大增幅，基本面向好，铜价下行空间有限。当前铜市场矛盾依然不算突出。前期主导铜价上涨因素弱化。依旧保持振荡思路。</w:t>
      </w:r>
    </w:p>
    <w:p>
      <w:pPr>
        <w:spacing w:before="156" w:after="156" w:line="240" w:lineRule="exact"/>
        <w:ind w:left="2415" w:leftChars="1150"/>
        <w:rPr>
          <w:rFonts w:ascii="Calibri" w:hAnsi="Calibri" w:eastAsia="楷体" w:cs="Calibri"/>
        </w:rPr>
      </w:pPr>
      <w:r>
        <w:rPr>
          <w:rFonts w:hint="eastAsia" w:ascii="Calibri" w:hAnsi="Calibri" w:eastAsia="楷体" w:cs="Calibri"/>
        </w:rPr>
        <w:t>图11:全球铜供需平衡状况</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10" w:name="_Toc518221406"/>
      <w:r>
        <w:rPr>
          <w:rFonts w:hint="eastAsia" w:ascii="楷体" w:hAnsi="楷体" w:eastAsia="楷体" w:cs="黑体"/>
          <w:b/>
          <w:color w:val="C00000"/>
          <w:sz w:val="24"/>
          <w:szCs w:val="32"/>
        </w:rPr>
        <w:t>4</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铜期货现货数据</w:t>
      </w:r>
      <w:bookmarkEnd w:id="110"/>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11" w:name="_Toc513836700"/>
                  <w:bookmarkStart w:id="112" w:name="_Toc51383662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16</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长江有色铜价</w:t>
                  </w:r>
                  <w:bookmarkEnd w:id="111"/>
                  <w:bookmarkEnd w:id="112"/>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13" w:name="_Toc513836701"/>
                  <w:bookmarkStart w:id="114" w:name="_Toc51383663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17</w:t>
                  </w:r>
                  <w:r>
                    <w:rPr>
                      <w:rFonts w:ascii="楷体" w:hAnsi="楷体" w:eastAsia="楷体"/>
                      <w:i/>
                      <w:color w:val="002060"/>
                    </w:rPr>
                    <w:fldChar w:fldCharType="end"/>
                  </w:r>
                  <w:r>
                    <w:rPr>
                      <w:rFonts w:hint="eastAsia" w:ascii="楷体" w:hAnsi="楷体" w:eastAsia="楷体"/>
                      <w:i/>
                      <w:color w:val="002060"/>
                    </w:rPr>
                    <w:t>：洋山铜平均溢价</w:t>
                  </w:r>
                  <w:bookmarkEnd w:id="113"/>
                  <w:bookmarkEnd w:id="1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41" o:spid="_x0000_s1042" type="#_x0000_t75" style="height:141.75pt;width:226.75pt;rotation:0f;" o:ole="f" fillcolor="#FFFFFF" filled="f" o:preferrelative="t" stroked="f" coordorigin="0,0" coordsize="21600,21600">
                        <v:fill on="f" color2="#FFFFFF" focus="0%"/>
                        <v:imagedata gain="65536f" blacklevel="0f" gamma="0" o:title="" r:id="rId28"/>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42" o:spid="_x0000_s1043" type="#_x0000_t75" style="height:141.75pt;width:226.75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15" w:name="_Toc513836631"/>
                  <w:bookmarkStart w:id="116" w:name="_Toc51383670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18</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LME铜库存</w:t>
                  </w:r>
                  <w:bookmarkEnd w:id="115"/>
                  <w:bookmarkEnd w:id="116"/>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17" w:name="_Toc513836632"/>
                  <w:bookmarkStart w:id="118" w:name="_Toc513836703"/>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19</w:t>
                  </w:r>
                  <w:r>
                    <w:rPr>
                      <w:rFonts w:ascii="楷体" w:hAnsi="楷体" w:eastAsia="楷体"/>
                      <w:i/>
                      <w:color w:val="002060"/>
                    </w:rPr>
                    <w:fldChar w:fldCharType="end"/>
                  </w:r>
                  <w:r>
                    <w:rPr>
                      <w:rFonts w:hint="eastAsia" w:ascii="楷体" w:hAnsi="楷体" w:eastAsia="楷体"/>
                      <w:i/>
                      <w:color w:val="002060"/>
                    </w:rPr>
                    <w:t>：COMEX铜库存</w:t>
                  </w:r>
                  <w:bookmarkEnd w:id="117"/>
                  <w:bookmarkEnd w:id="11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49" o:spid="_x0000_s1044" type="#_x0000_t75" style="height:170.1pt;width:226.75pt;rotation:0f;" o:ole="f" fillcolor="#FFFFFF" filled="f" o:preferrelative="t" stroked="f" coordorigin="0,0" coordsize="21600,21600">
                        <v:fill on="f" color2="#FFFFFF" focus="0%"/>
                        <v:imagedata gain="65536f" blacklevel="0f" gamma="0" o:title="" r:id="rId30"/>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50" o:spid="_x0000_s1045" type="#_x0000_t75" style="height:170.1pt;width:226.75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19" w:name="_Toc513836633"/>
                  <w:bookmarkStart w:id="120" w:name="_Toc51383670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20</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上海有色铜库存</w:t>
                  </w:r>
                  <w:bookmarkEnd w:id="119"/>
                  <w:bookmarkEnd w:id="120"/>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21" w:name="_Toc513836634"/>
                  <w:bookmarkStart w:id="122" w:name="_Toc51383670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21</w:t>
                  </w:r>
                  <w:r>
                    <w:rPr>
                      <w:rFonts w:ascii="楷体" w:hAnsi="楷体" w:eastAsia="楷体"/>
                      <w:i/>
                      <w:color w:val="002060"/>
                    </w:rPr>
                    <w:fldChar w:fldCharType="end"/>
                  </w:r>
                  <w:r>
                    <w:rPr>
                      <w:rFonts w:hint="eastAsia" w:ascii="楷体" w:hAnsi="楷体" w:eastAsia="楷体"/>
                      <w:i/>
                      <w:color w:val="002060"/>
                    </w:rPr>
                    <w:t>：上海保税区铜库存</w:t>
                  </w:r>
                  <w:bookmarkEnd w:id="121"/>
                  <w:bookmarkEnd w:id="1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07" o:spid="_x0000_s1046" type="#_x0000_t75" style="height:170.1pt;width:226.75pt;rotation:0f;" o:ole="f" fillcolor="#FFFFFF" filled="f" o:preferrelative="t" stroked="f" coordorigin="0,0" coordsize="21600,21600">
                        <v:fill on="f" color2="#FFFFFF" focus="0%"/>
                        <v:imagedata gain="65536f" blacklevel="0f" gamma="0" o:title="" r:id="rId32"/>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09" o:spid="_x0000_s1047" type="#_x0000_t75" style="height:170.1pt;width:226.75pt;rotation:0f;" o:ole="f"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23" w:name="_Toc513836635"/>
                  <w:bookmarkStart w:id="124" w:name="_Toc51383670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22</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铜材产量</w:t>
                  </w:r>
                  <w:bookmarkEnd w:id="123"/>
                  <w:bookmarkEnd w:id="124"/>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25" w:name="_Toc513836636"/>
                  <w:bookmarkStart w:id="126" w:name="_Toc513836707"/>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23</w:t>
                  </w:r>
                  <w:r>
                    <w:rPr>
                      <w:rFonts w:ascii="楷体" w:hAnsi="楷体" w:eastAsia="楷体"/>
                      <w:i/>
                      <w:color w:val="002060"/>
                    </w:rPr>
                    <w:fldChar w:fldCharType="end"/>
                  </w:r>
                  <w:r>
                    <w:rPr>
                      <w:rFonts w:hint="eastAsia" w:ascii="楷体" w:hAnsi="楷体" w:eastAsia="楷体"/>
                      <w:i/>
                      <w:color w:val="002060"/>
                    </w:rPr>
                    <w:t>：进口精炼铜</w:t>
                  </w:r>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0" o:spid="_x0000_s1048" type="#_x0000_t75" style="height:170.1pt;width:226.75pt;rotation:0f;" o:ole="f"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1" o:spid="_x0000_s1049" type="#_x0000_t75" style="height:170.1pt;width:226.7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27" w:name="_Toc513836637"/>
                  <w:bookmarkStart w:id="128" w:name="_Toc51383670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24</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WBMS供需平衡</w:t>
                  </w:r>
                  <w:bookmarkEnd w:id="127"/>
                  <w:bookmarkEnd w:id="128"/>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29" w:name="_Toc513836638"/>
                  <w:bookmarkStart w:id="130" w:name="_Toc51383670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25</w:t>
                  </w:r>
                  <w:r>
                    <w:rPr>
                      <w:rFonts w:ascii="楷体" w:hAnsi="楷体" w:eastAsia="楷体"/>
                      <w:i/>
                      <w:color w:val="002060"/>
                    </w:rPr>
                    <w:fldChar w:fldCharType="end"/>
                  </w:r>
                  <w:r>
                    <w:rPr>
                      <w:rFonts w:hint="eastAsia" w:ascii="楷体" w:hAnsi="楷体" w:eastAsia="楷体"/>
                      <w:i/>
                      <w:color w:val="002060"/>
                    </w:rPr>
                    <w:t>：铜精炼费</w:t>
                  </w:r>
                  <w:bookmarkEnd w:id="129"/>
                  <w:bookmarkEnd w:id="1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2" o:spid="_x0000_s1050" type="#_x0000_t75" style="height:170.1pt;width:226.75pt;rotation:0f;" o:ole="f" fillcolor="#FFFFFF" filled="f" o:preferrelative="t" stroked="f" coordorigin="0,0" coordsize="21600,21600">
                        <v:fill on="f" color2="#FFFFFF" focus="0%"/>
                        <v:imagedata gain="65536f" blacklevel="0f" gamma="0" o:title="" r:id="rId36"/>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3" o:spid="_x0000_s1051" type="#_x0000_t75" style="height:170.1pt;width:226.75pt;rotation:0f;" o:ole="f"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156" w:after="156" w:line="240" w:lineRule="exact"/>
        <w:ind w:left="2415" w:leftChars="1150"/>
        <w:rPr>
          <w:rFonts w:ascii="Calibri" w:hAnsi="Calibri" w:eastAsia="楷体" w:cs="Calibri"/>
        </w:rPr>
      </w:pPr>
    </w:p>
    <w:p>
      <w:pPr>
        <w:spacing w:before="156" w:after="156" w:line="240" w:lineRule="exact"/>
        <w:ind w:left="2415" w:leftChars="1150"/>
        <w:rPr>
          <w:rFonts w:ascii="Calibri" w:hAnsi="Calibri" w:eastAsia="楷体" w:cs="Calibri"/>
        </w:rPr>
      </w:pPr>
      <w:r>
        <w:rPr>
          <w:rFonts w:ascii="Calibri" w:hAnsi="Calibri" w:eastAsia="楷体" w:cs="Calibri"/>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131" w:name="_Toc518221407"/>
      <w:r>
        <w:rPr>
          <w:rFonts w:hint="eastAsia" w:ascii="楷体" w:hAnsi="楷体" w:eastAsia="楷体" w:cs="黑体"/>
          <w:b/>
          <w:color w:val="C00000"/>
          <w:sz w:val="28"/>
          <w:szCs w:val="32"/>
        </w:rPr>
        <w:t>锌：弱反弹难持续</w:t>
      </w:r>
      <w:bookmarkEnd w:id="131"/>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32" w:name="_Toc511581206"/>
      <w:bookmarkStart w:id="133" w:name="_Toc511512888"/>
      <w:bookmarkStart w:id="134" w:name="_Toc511513000"/>
      <w:bookmarkStart w:id="135" w:name="_Toc513394774"/>
      <w:bookmarkStart w:id="136" w:name="_Toc513901738"/>
      <w:bookmarkStart w:id="137" w:name="_Toc518221408"/>
      <w:bookmarkStart w:id="138" w:name="_Toc512165397"/>
      <w:r>
        <w:rPr>
          <w:rFonts w:ascii="楷体" w:hAnsi="楷体" w:eastAsia="楷体" w:cs="黑体"/>
          <w:b/>
          <w:color w:val="C00000"/>
          <w:sz w:val="24"/>
          <w:szCs w:val="32"/>
        </w:rPr>
        <w:t xml:space="preserve">1 </w:t>
      </w:r>
      <w:bookmarkEnd w:id="132"/>
      <w:bookmarkEnd w:id="133"/>
      <w:bookmarkEnd w:id="134"/>
      <w:r>
        <w:rPr>
          <w:rFonts w:hint="eastAsia" w:ascii="楷体" w:hAnsi="楷体" w:eastAsia="楷体" w:cs="黑体"/>
          <w:b/>
          <w:color w:val="C00000"/>
          <w:sz w:val="24"/>
          <w:szCs w:val="32"/>
        </w:rPr>
        <w:t>锌：影响因素</w:t>
      </w:r>
      <w:bookmarkEnd w:id="135"/>
      <w:bookmarkEnd w:id="136"/>
      <w:bookmarkEnd w:id="137"/>
      <w:bookmarkEnd w:id="138"/>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国内外锌矿产量增加</w:t>
      </w:r>
    </w:p>
    <w:p>
      <w:pPr>
        <w:spacing w:before="156" w:after="156" w:line="240" w:lineRule="exact"/>
        <w:ind w:left="2415" w:leftChars="1150"/>
        <w:rPr>
          <w:rFonts w:ascii="Calibri" w:hAnsi="Calibri" w:eastAsia="楷体" w:cs="Calibri"/>
        </w:rPr>
      </w:pPr>
      <w:r>
        <w:rPr>
          <w:rFonts w:hint="eastAsia" w:ascii="Calibri" w:hAnsi="Calibri" w:eastAsia="楷体" w:cs="Calibri"/>
        </w:rPr>
        <w:t>随着锌价不断上涨，矿山利润也在持续增长，矿山在如此丰厚的利润下有充足的动力来复产和增产。2018 年全球锌精矿产量显著增长，ILZSG 预计，全球矿产锌产量将继续增长至1362 万吨，增速为 5.1%，增长主要来自于中国（增速2.3%）和秘鲁（增速3.9%）。由于海外矿山企业增产复产欲望增强，锌矿开发投资加速，2017年锌矿供应已经出现了回暖。加拿大的Lalor矿山、非洲的Bisha Expansion以及 Perkoa矿山、秘鲁 Antamina矿和印度韦丹塔公司旗下的矿山增产明显，总计大约有50万吨的新增产能。国内方面，受环保治理不断趋严的影响，一些关闭的小矿山 2018 年仍难有恢复的可能，但受益于内蒙古和青海等地的矿山投产，整体产量将小幅增长。</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进口矿补充原料</w:t>
      </w:r>
    </w:p>
    <w:p>
      <w:pPr>
        <w:spacing w:before="156" w:after="156" w:line="240" w:lineRule="exact"/>
        <w:ind w:left="2415" w:leftChars="1150"/>
        <w:rPr>
          <w:rFonts w:ascii="Calibri" w:hAnsi="Calibri" w:eastAsia="楷体" w:cs="Calibri"/>
        </w:rPr>
      </w:pPr>
      <w:r>
        <w:rPr>
          <w:rFonts w:hint="eastAsia" w:ascii="Calibri" w:hAnsi="Calibri" w:eastAsia="楷体" w:cs="Calibri"/>
        </w:rPr>
        <w:t>国内锌矿产量来看，由于环保政策的持续影响，老矿山开采及新矿山投放都受到明显影响，导致国内锌矿产量持续居于较低水平。根据数据显示，今年4月份国内锌矿产量预估为35.2万吨，同比减少6%附近，1-4月累计同比小幅下滑。由于湖南花垣地区持续停产，很大程度的影响了地区性锌矿供应，而北方矿山复产进度偏缓，也拖累了原料供应。总的来说，今年国内锌矿供应的增量很难显现，而且更多的是受制于政策性因素，而非价格因素，未来量是否能小幅增加，依然取决于国内政策的变化，但目前来看6月份增量或有限。</w:t>
      </w:r>
    </w:p>
    <w:p>
      <w:pPr>
        <w:spacing w:before="156" w:after="156" w:line="240" w:lineRule="exact"/>
        <w:ind w:left="2415" w:leftChars="1150"/>
        <w:rPr>
          <w:rFonts w:ascii="Calibri" w:hAnsi="Calibri" w:eastAsia="楷体" w:cs="Calibri"/>
        </w:rPr>
      </w:pPr>
      <w:r>
        <w:rPr>
          <w:rFonts w:hint="eastAsia" w:ascii="Calibri" w:hAnsi="Calibri" w:eastAsia="楷体" w:cs="Calibri"/>
        </w:rPr>
        <w:t>而从锌矿进口的角度来看，海关数据显示4月锌精矿进口量为306445吨，同比小幅增长6.75%，同比增速略有回落，但整体依然处于高位。在五矿的杜尔家河矿试产顺利及正式商业化生产后，未来锌矿进口或持续居于较高水平，成为国内原料供应的重要补充。</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产量逐月减少</w:t>
      </w:r>
    </w:p>
    <w:p>
      <w:pPr>
        <w:spacing w:before="156" w:after="156" w:line="240" w:lineRule="exact"/>
        <w:ind w:left="2415" w:leftChars="1150"/>
        <w:rPr>
          <w:rFonts w:ascii="Calibri" w:hAnsi="Calibri" w:eastAsia="楷体" w:cs="Calibri"/>
        </w:rPr>
      </w:pPr>
      <w:r>
        <w:rPr>
          <w:rFonts w:hint="eastAsia" w:ascii="Calibri" w:hAnsi="Calibri" w:eastAsia="楷体" w:cs="Calibri"/>
        </w:rPr>
        <w:t>锌精矿的短缺造成当前锌精矿加工费处于历史低位，环保部门对国内企业进行了严格的环保检查，锌矿供应偏紧，加工费维持低位，南方市场主流成交3200—3400元/吨，北方市场主流成交3400—3700元/吨。同时，进口锌精矿亦较为偏紧，当前进口锌精矿现货加工费维持20—40美元/吨的较低水平，且港口锌矿库存下降，冶炼厂提货速度加快。</w:t>
      </w:r>
    </w:p>
    <w:p>
      <w:pPr>
        <w:spacing w:before="156" w:after="156" w:line="240" w:lineRule="exact"/>
        <w:ind w:left="2415" w:leftChars="1150"/>
        <w:rPr>
          <w:rFonts w:ascii="Calibri" w:hAnsi="Calibri" w:eastAsia="楷体" w:cs="Calibri"/>
        </w:rPr>
      </w:pPr>
      <w:r>
        <w:rPr>
          <w:rFonts w:hint="eastAsia" w:ascii="Calibri" w:hAnsi="Calibri" w:eastAsia="楷体" w:cs="Calibri"/>
        </w:rPr>
        <w:t>蓝天行动，冶炼厂检修是锌库存减少的主要原因，豫光金铅、陕西锌业、赤峰有色等冶炼厂自5月开始检修，影响锌产量约2万吨，而白银有色、葫芦岛锌业以及中金岭南等冶炼厂自6月初开始检修，预计影响锌产量1万吨左右。令进入2018年以来，精炼锌月度产量逐月下降，据 SMM 调研了解，5 月国内精炼锌企 业开工率环比下降 3.48 个百分点至 68.62%，降幅较为明显。 5月国内精炼锌产量至42.31万吨，同比减少4.82%。</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供应结构将发生改变</w:t>
      </w:r>
    </w:p>
    <w:p>
      <w:pPr>
        <w:spacing w:before="156" w:after="156" w:line="240" w:lineRule="exact"/>
        <w:ind w:left="2415" w:leftChars="1150"/>
        <w:rPr>
          <w:rFonts w:ascii="Calibri" w:hAnsi="Calibri" w:eastAsia="楷体" w:cs="Calibri"/>
        </w:rPr>
      </w:pPr>
      <w:r>
        <w:rPr>
          <w:rFonts w:hint="eastAsia" w:ascii="Calibri" w:hAnsi="Calibri" w:eastAsia="楷体" w:cs="Calibri"/>
        </w:rPr>
        <w:t xml:space="preserve">中国进口锌矿将增加，改变国内供不应求的格局，现货升水回落。国内增值税率下调至16%，进口锌窗口打开，5月流入市场进口锌增多。与 2017 年第一季度 相比，锌精矿中锌的进口量增长了 21.9%，达到 36.2 万吨。精炼锌的净进口增加了8.2 万吨，达到 13.6 万吨。再者，嘉能可旗下的Lady Loretta矿已经在去年12月重启，预计今年将正常运行。同时，锌价持续上涨，亦刺激其他锌矿的复产和投产，预估至少有40万吨的增量。受此影响，全球锌矿供不应求的格局将发生改变，中国亦将加大锌矿的进口，从而间接增加国内锌供应。由于锌产量以及锌进口增加，锌供应盈余打压锌价。 </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需求不及预期</w:t>
      </w:r>
    </w:p>
    <w:p>
      <w:pPr>
        <w:spacing w:before="156" w:after="156" w:line="240" w:lineRule="exact"/>
        <w:ind w:left="2415" w:leftChars="1150"/>
        <w:rPr>
          <w:rFonts w:ascii="Calibri" w:hAnsi="Calibri" w:eastAsia="楷体" w:cs="Calibri"/>
        </w:rPr>
      </w:pPr>
      <w:r>
        <w:rPr>
          <w:rFonts w:hint="eastAsia" w:ascii="Calibri" w:hAnsi="Calibri" w:eastAsia="楷体" w:cs="Calibri"/>
        </w:rPr>
        <w:t>从锌消费结构来看，锌消费量中的51%左右用于钢铁镀锌，其表观消费量呈现下滑趋势。1-4月镀锌结构件平均开工率为56.7%，较去年同期下降了9.4个百分点。一部分由于一季度，华北受环保及两会影响下，生产受限明显；而另一部分原因则是由于今年房地产、基建等板块订单较去年走弱，拖累镀锌结构件企业生产订单。从出口方面来看，3月镀锌板带出口45万吨，同比下滑36%，镀锌板带出口依然不太乐观。一方面是比值因素不利于国内锌产品出口；另一方面则是受到贸易战的拖累，包括美国、台湾等地都对国内部分镀锌产品进行了双反制裁，导致企业出口量受到冲击。虽然现阶段贸易战局势有所缓解，但未来进展仍存在一定不确定性，出口量在未来一段时间内都很难有亮眼表现。</w:t>
      </w:r>
    </w:p>
    <w:p>
      <w:pPr>
        <w:spacing w:before="156" w:after="156" w:line="240" w:lineRule="exact"/>
        <w:ind w:left="2415" w:leftChars="1150"/>
        <w:rPr>
          <w:rFonts w:ascii="Calibri" w:hAnsi="Calibri" w:eastAsia="楷体" w:cs="Calibri"/>
        </w:rPr>
      </w:pPr>
      <w:r>
        <w:rPr>
          <w:rFonts w:hint="eastAsia" w:ascii="Calibri" w:hAnsi="Calibri" w:eastAsia="楷体" w:cs="Calibri"/>
        </w:rPr>
        <w:t>从汽车市场来看，根据中国汽车工业协会最新数据显示，1-5月汽车产销分别完成1176.8万辆和1179.2万辆，产销量比上年同期分别增长3.8%和5.7%，销量增速高于上年同期2个百分点，增速比1-4月提高0.9个百分点，总体表现良好今年汽车行业超预期迹象明显，购置税减半政策的退出并未使得车市快速走冷，消费升级的趋势或使得今年汽车产量强于市场预期。</w:t>
      </w:r>
    </w:p>
    <w:p>
      <w:pPr>
        <w:spacing w:before="156" w:after="156" w:line="240" w:lineRule="exact"/>
        <w:ind w:left="2415" w:leftChars="1150"/>
        <w:rPr>
          <w:rFonts w:ascii="Calibri" w:hAnsi="Calibri" w:eastAsia="楷体" w:cs="Calibri"/>
        </w:rPr>
      </w:pPr>
      <w:r>
        <w:rPr>
          <w:rFonts w:hint="eastAsia" w:ascii="Calibri" w:hAnsi="Calibri" w:eastAsia="楷体" w:cs="Calibri"/>
        </w:rPr>
        <w:t>地产方面，中国前5个月房地产开发投资增速回落0.1个百分点，同比名义增长10.2%。商品房销售面积同比增长2.9%，较前4个月提高1.6个百分点；商品房销售额增速提高2.8个百分点，至11.8%。</w:t>
      </w:r>
    </w:p>
    <w:p>
      <w:pPr>
        <w:spacing w:before="156" w:after="156" w:line="240" w:lineRule="exact"/>
        <w:ind w:left="2415" w:leftChars="1150"/>
        <w:rPr>
          <w:rFonts w:ascii="Calibri" w:hAnsi="Calibri" w:eastAsia="楷体" w:cs="Calibri"/>
        </w:rPr>
      </w:pPr>
      <w:r>
        <w:rPr>
          <w:rFonts w:hint="eastAsia" w:ascii="Calibri" w:hAnsi="Calibri" w:eastAsia="楷体" w:cs="Calibri"/>
        </w:rPr>
        <w:t>ILZSG 预计 2018 年全球精炼锌供给量和需求量分别为 1371 万吨、1397 万吨，分别增长 3.6%和 2.0%。随着矿山产能的复产加速，2018 年供给增速高于需求增速，锌短缺约 26 万吨，供需缺口较 2017 年收窄18万吨。</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39" w:name="_Toc518221409"/>
      <w:r>
        <w:rPr>
          <w:rFonts w:hint="eastAsia" w:ascii="楷体" w:hAnsi="楷体" w:eastAsia="楷体" w:cs="黑体"/>
          <w:b/>
          <w:color w:val="C00000"/>
          <w:sz w:val="24"/>
          <w:szCs w:val="32"/>
        </w:rPr>
        <w:t>2</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锌：弱反弹难持续</w:t>
      </w:r>
      <w:bookmarkEnd w:id="139"/>
    </w:p>
    <w:p>
      <w:pPr>
        <w:spacing w:before="156" w:after="156" w:line="240" w:lineRule="exact"/>
        <w:ind w:left="2415" w:leftChars="1150"/>
        <w:rPr>
          <w:rFonts w:ascii="Calibri" w:hAnsi="Calibri" w:eastAsia="楷体" w:cs="Calibri"/>
        </w:rPr>
      </w:pPr>
      <w:r>
        <w:rPr>
          <w:rFonts w:hint="eastAsia" w:ascii="Calibri" w:hAnsi="Calibri" w:eastAsia="楷体" w:cs="Calibri"/>
        </w:rPr>
        <w:t>锌供应紧张的格局将缓解，从而限制锌价上行幅度。而下游消费情况不佳，消费逐渐转淡，预期锌市场去库增速放缓，或重新累库，锌价弱反弹难持续。需求出现走弱迹象，导致库存再度累计，与此同时，进口锌锭流入现货市场，基本面的疲弱表现，对沪锌走势形成打压。预计短期锌价将维持偏弱运行，后期下行压力仍存。</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40" w:name="_Toc518221410"/>
      <w:r>
        <w:rPr>
          <w:rFonts w:hint="eastAsia" w:ascii="楷体" w:hAnsi="楷体" w:eastAsia="楷体" w:cs="黑体"/>
          <w:b/>
          <w:color w:val="C00000"/>
          <w:sz w:val="24"/>
          <w:szCs w:val="32"/>
        </w:rPr>
        <w:t>3</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锌期货现货数据</w:t>
      </w:r>
      <w:bookmarkEnd w:id="140"/>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41" w:name="_Toc513836639"/>
                  <w:bookmarkStart w:id="142" w:name="_Toc51383671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26</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锌产量</w:t>
                  </w:r>
                  <w:bookmarkEnd w:id="141"/>
                  <w:bookmarkEnd w:id="142"/>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43" w:name="_Toc513836711"/>
                  <w:bookmarkStart w:id="144" w:name="_Toc51383664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27</w:t>
                  </w:r>
                  <w:r>
                    <w:rPr>
                      <w:rFonts w:ascii="楷体" w:hAnsi="楷体" w:eastAsia="楷体"/>
                      <w:i/>
                      <w:color w:val="002060"/>
                    </w:rPr>
                    <w:fldChar w:fldCharType="end"/>
                  </w:r>
                  <w:r>
                    <w:rPr>
                      <w:rFonts w:hint="eastAsia" w:ascii="楷体" w:hAnsi="楷体" w:eastAsia="楷体"/>
                      <w:i/>
                      <w:color w:val="002060"/>
                    </w:rPr>
                    <w:t>：锌升贴水</w:t>
                  </w:r>
                  <w:bookmarkEnd w:id="143"/>
                  <w:bookmarkEnd w:id="14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4" o:spid="_x0000_s1052" type="#_x0000_t75" style="height:170.1pt;width:226.75pt;rotation:0f;" o:ole="f" fillcolor="#FFFFFF" filled="f" o:preferrelative="t" stroked="f" coordorigin="0,0" coordsize="21600,21600">
                        <v:fill on="f" color2="#FFFFFF" focus="0%"/>
                        <v:imagedata gain="65536f" blacklevel="0f" gamma="0" o:title="" r:id="rId38"/>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5" o:spid="_x0000_s1053" type="#_x0000_t75" style="height:170.1pt;width:226.75pt;rotation:0f;" o:ole="f" fillcolor="#FFFFFF" filled="f" o:preferrelative="t" stroked="f" coordorigin="0,0" coordsize="21600,21600">
                        <v:fill on="f" color2="#FFFFFF" focus="0%"/>
                        <v:imagedata gain="65536f" blacklevel="0f" gamma="0" o:title="" r:id="rId39"/>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45" w:name="_Toc513836641"/>
                  <w:bookmarkStart w:id="146" w:name="_Toc51383671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28</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锌产销变化</w:t>
                  </w:r>
                  <w:bookmarkEnd w:id="145"/>
                  <w:bookmarkEnd w:id="146"/>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47" w:name="_Toc513836642"/>
                  <w:bookmarkStart w:id="148" w:name="_Toc513836713"/>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29</w:t>
                  </w:r>
                  <w:r>
                    <w:rPr>
                      <w:rFonts w:ascii="楷体" w:hAnsi="楷体" w:eastAsia="楷体"/>
                      <w:i/>
                      <w:color w:val="002060"/>
                    </w:rPr>
                    <w:fldChar w:fldCharType="end"/>
                  </w:r>
                  <w:r>
                    <w:rPr>
                      <w:rFonts w:hint="eastAsia" w:ascii="楷体" w:hAnsi="楷体" w:eastAsia="楷体"/>
                      <w:i/>
                      <w:color w:val="002060"/>
                    </w:rPr>
                    <w:t>：终端汽车产量</w:t>
                  </w:r>
                  <w:bookmarkEnd w:id="147"/>
                  <w:bookmarkEnd w:id="14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6" o:spid="_x0000_s1054" type="#_x0000_t75" style="height:170.1pt;width:226.75pt;rotation:0f;" o:ole="f" fillcolor="#FFFFFF" filled="f" o:preferrelative="t" stroked="f" coordorigin="0,0" coordsize="21600,21600">
                        <v:fill on="f" color2="#FFFFFF" focus="0%"/>
                        <v:imagedata gain="65536f" blacklevel="0f" gamma="0" o:title="" r:id="rId40"/>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7" o:spid="_x0000_s1055" type="#_x0000_t75" style="height:170.1pt;width:226.75pt;rotation:0f;" o:ole="f" fillcolor="#FFFFFF" filled="f" o:preferrelative="t" stroked="f" coordorigin="0,0" coordsize="21600,21600">
                        <v:fill on="f" color2="#FFFFFF" focus="0%"/>
                        <v:imagedata gain="65536f" blacklevel="0f" gamma="0" o:title="" r:id="rId41"/>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156" w:after="156" w:line="240" w:lineRule="exact"/>
        <w:ind w:left="2415" w:leftChars="1150"/>
        <w:rPr>
          <w:rFonts w:ascii="Times New Roman" w:hAnsi="Times New Roman"/>
          <w:sz w:val="18"/>
        </w:rPr>
      </w:pPr>
    </w:p>
    <w:p>
      <w:pPr>
        <w:spacing w:before="156" w:after="156" w:line="240" w:lineRule="exact"/>
        <w:ind w:left="2415" w:leftChars="1150"/>
        <w:rPr>
          <w:rFonts w:ascii="Times New Roman" w:hAnsi="Times New Roman"/>
          <w:sz w:val="18"/>
        </w:rPr>
      </w:pPr>
      <w:r>
        <w:rPr>
          <w:rFonts w:ascii="Times New Roman" w:hAnsi="Times New Roman"/>
          <w:sz w:val="18"/>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149" w:name="_Toc518221411"/>
      <w:r>
        <w:rPr>
          <w:rFonts w:hint="eastAsia" w:ascii="楷体" w:hAnsi="楷体" w:eastAsia="楷体" w:cs="黑体"/>
          <w:b/>
          <w:color w:val="C00000"/>
          <w:sz w:val="28"/>
          <w:szCs w:val="32"/>
        </w:rPr>
        <w:t>铅：弱势震荡</w:t>
      </w:r>
      <w:bookmarkEnd w:id="149"/>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50" w:name="_Toc518221412"/>
      <w:r>
        <w:rPr>
          <w:rFonts w:hint="eastAsia" w:ascii="楷体" w:hAnsi="楷体" w:eastAsia="楷体" w:cs="黑体"/>
          <w:b/>
          <w:color w:val="C00000"/>
          <w:sz w:val="24"/>
          <w:szCs w:val="32"/>
        </w:rPr>
        <w:t>1</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铅：基本面分析</w:t>
      </w:r>
      <w:bookmarkEnd w:id="150"/>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整体供需情况好于去年</w:t>
      </w:r>
    </w:p>
    <w:p>
      <w:pPr>
        <w:spacing w:before="156" w:after="156" w:line="240" w:lineRule="exact"/>
        <w:ind w:left="2415" w:leftChars="1150"/>
        <w:rPr>
          <w:rFonts w:ascii="Calibri" w:hAnsi="Calibri" w:eastAsia="楷体" w:cs="Calibri"/>
        </w:rPr>
      </w:pPr>
      <w:r>
        <w:rPr>
          <w:rFonts w:hint="eastAsia" w:ascii="Calibri" w:hAnsi="Calibri" w:eastAsia="楷体" w:cs="Calibri"/>
        </w:rPr>
        <w:t>根据安泰科统计，2017 和 2018 两年国内有超过 180 万吨的再生铅产能投产，此外根据铅酸电池的年度生产情况和报废周期推算，2018 和 2019 年将进入报废高峰期，再生铅产量将保持 较高增速。虽然国内环保治理力度不减将对铅供应产生影响，但总供应量仍将呈增长的趋势。由于供给的快速增加，2018 年铅供给短缺仅为 2 万吨，缺口较 2017 年大幅收窄。</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环保导致再生铅产量下降</w:t>
      </w:r>
    </w:p>
    <w:p>
      <w:pPr>
        <w:spacing w:before="156" w:after="156" w:line="240" w:lineRule="exact"/>
        <w:ind w:left="2415" w:leftChars="1150"/>
        <w:rPr>
          <w:rFonts w:ascii="Calibri" w:hAnsi="Calibri" w:eastAsia="楷体" w:cs="Calibri"/>
        </w:rPr>
      </w:pPr>
      <w:r>
        <w:rPr>
          <w:rFonts w:hint="eastAsia" w:ascii="Calibri" w:hAnsi="Calibri" w:eastAsia="楷体" w:cs="Calibri"/>
        </w:rPr>
        <w:t>中央环保督察组对河北、河南，内蒙古、宁夏，黑龙江，江苏、江西，广东、广西，云南等 10 个省区展开“回头看”。环保督察组入驻，环保敏感度最高的是铅，是因为废旧铅酸蓄电池含硫酸，且铅是毒性高的重金属，位列危废名录。自3月开始，安徽部分再生铅企业被勒令停产整顿，截至5月，安徽太和工业园区再生铅企业还在停产整改。环保部门对固废企业进行严格的环保检查，江西、云南、贵州等地区再生铅冶炼厂阶段性停产。安徽地区环保政策升级，集中对当地化工企业、再生铅企业进行集中检查。检查的内容主要集中在：废物处理。比如对冶炼环节产生的废渣、锅炉渣等废料的处理；废水、废气的处理。比如对外排放的二氧化硫是否超标；对一些生产项目的环评流程进行复查。再生铅企业阶段性停产，再生铅产量增速下滑，统计数据显示，1-4月我国精铅产量为 140.5 万吨，同比降幅为 8.8%。其中原生铅产量为 88.4 万吨，同比下降 6.6%；再生铅产量 52.1 万吨，同比下降12.3%。5 月原生铅厂检修基本结束，预计精铅产量环比恢复增长，但仍会低于去年同期水平。从再生铅产业来看，环保政策执行的力度超出预期，企业开工受到显著抑制，铅的供应端受到威胁，相应铅的供应环节上市企业利润也会得到提振。</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进口量下降</w:t>
      </w:r>
    </w:p>
    <w:p>
      <w:pPr>
        <w:spacing w:before="156" w:after="156" w:line="240" w:lineRule="exact"/>
        <w:ind w:left="2415" w:leftChars="1150"/>
        <w:rPr>
          <w:rFonts w:ascii="Calibri" w:hAnsi="Calibri" w:eastAsia="楷体" w:cs="Calibri"/>
        </w:rPr>
      </w:pPr>
      <w:r>
        <w:rPr>
          <w:rFonts w:hint="eastAsia" w:ascii="Calibri" w:hAnsi="Calibri" w:eastAsia="楷体" w:cs="Calibri"/>
        </w:rPr>
        <w:t>1-4月全国铅精矿累计产量 51.7万金属吨，同比减少 1.3%。从 4 月份开始，海关停止公布贸易数据，安泰科根据一季度精矿情况及市场实际变化，预计前 4 个月铅精矿累计进口量约为16.8 万金属吨，降幅在 20%左右。6 月份进口矿加工费平均水平仍然维持在20 美元/干吨。由于 5 月份国内铅价强势，沪伦比值上升，进口矿平均盈利 1000 元/吨左右。5 月份德国违规进口货源曝光，数据显示 2017 年我国从德国进口富铅渣约 4.2 万实物吨，这部分量势必消失；朝鲜矿从去年 9 月份开始禁止进口，预计今年铅精矿进口量仍将维持降势。</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需求无亮点</w:t>
      </w:r>
    </w:p>
    <w:p>
      <w:pPr>
        <w:spacing w:before="156" w:after="156" w:line="240" w:lineRule="exact"/>
        <w:ind w:left="2415" w:leftChars="1150"/>
        <w:rPr>
          <w:rFonts w:ascii="Calibri" w:hAnsi="Calibri" w:eastAsia="楷体" w:cs="Calibri"/>
        </w:rPr>
      </w:pPr>
      <w:r>
        <w:rPr>
          <w:rFonts w:hint="eastAsia" w:ascii="Calibri" w:hAnsi="Calibri" w:eastAsia="楷体" w:cs="Calibri"/>
        </w:rPr>
        <w:t xml:space="preserve">6月中旬至8月中旬为铅酸蓄电池传统消费旺季，消费需求逐渐旺盛，而供应备受抑制，导致供需极其不均衡。下游电池企业没有像去年初一样集中备货导致消费波动较大以及库存的堆积，今年更多是按需采购和拿货，且在年初进行了降价促销。但铅蓄电池价格则相对平静。回顾历史电池价格，基本与铅价同方向波动，而当前的“按兵不动”则暗示下游利润被进一步压缩，以电池企业相对集中的浙江地区报价来看，48V12AH报价每组在300元左右，若按20000元/吨的铅价折算，则每组电池亏损约15元左右。并且电池行业是一个产能过剩行业，产品技术门槛低，同质化严重，消费旺季预期虽存，但不意味着实际需求快速增加。同时，央视曝光江西电池厂违法排污，宜丰地区电池企业停产整顿，预计影响精铅需求每月约3万吨。 </w:t>
      </w:r>
    </w:p>
    <w:p>
      <w:pPr>
        <w:spacing w:before="156" w:after="156" w:line="240" w:lineRule="exact"/>
        <w:ind w:left="2415" w:leftChars="1150"/>
        <w:rPr>
          <w:rFonts w:ascii="Calibri" w:hAnsi="Calibri" w:eastAsia="楷体" w:cs="Calibri"/>
        </w:rPr>
      </w:pPr>
      <w:r>
        <w:rPr>
          <w:rFonts w:hint="eastAsia" w:ascii="Calibri" w:hAnsi="Calibri" w:eastAsia="楷体" w:cs="Calibri"/>
        </w:rPr>
        <w:t>出口方面，1—4月我国铅酸蓄电池累计出口量为5791万个，同比增长7.5%，比去年同期增加11.4个百分点，表明外部需求良好。综合来看，目前下游和外需表现并不差。 结合电池历史价格可以发现，夏季往往不是电池价格高点，在电池库存相对低点的冬季，价格可以达到一年顶峰。夏季虽是电池消费高峰，但厂家备货较为充足，整体呈现被动去库存态势。</w:t>
      </w:r>
    </w:p>
    <w:p>
      <w:pPr>
        <w:spacing w:before="156" w:after="156" w:line="240" w:lineRule="exact"/>
        <w:ind w:left="2415" w:leftChars="1150"/>
        <w:rPr>
          <w:rFonts w:ascii="Calibri" w:hAnsi="Calibri" w:eastAsia="楷体" w:cs="Calibri"/>
        </w:rPr>
      </w:pPr>
      <w:r>
        <w:rPr>
          <w:rFonts w:hint="eastAsia" w:ascii="Calibri" w:hAnsi="Calibri" w:eastAsia="楷体" w:cs="Calibri"/>
        </w:rPr>
        <w:t>从终端消费来看，1-4月我国汽车累计产销量分别达到941.98万辆和950.12万辆，同比增长1.78%和4.78%。汽车行业受小排量汽车购置税优惠政策取消的影响，产销增速将会下滑，且根据相关部门的最新消息，新能源汽车发展加速，该行业对铅酸电池消费拉动作用将会减弱;2018年国内铅消费的主要支撑在于电动三轮车和低速电动车，预计2018年我国铅消费增速在1%~1.5%。</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51" w:name="_Toc518221413"/>
      <w:r>
        <w:rPr>
          <w:rFonts w:hint="eastAsia" w:ascii="楷体" w:hAnsi="楷体" w:eastAsia="楷体" w:cs="黑体"/>
          <w:b/>
          <w:color w:val="C00000"/>
          <w:sz w:val="24"/>
          <w:szCs w:val="32"/>
        </w:rPr>
        <w:t>2</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行情展望</w:t>
      </w:r>
      <w:bookmarkEnd w:id="151"/>
    </w:p>
    <w:p>
      <w:pPr>
        <w:spacing w:before="156" w:after="156" w:line="240" w:lineRule="exact"/>
        <w:ind w:left="2415" w:leftChars="1150"/>
        <w:rPr>
          <w:rFonts w:ascii="Calibri" w:hAnsi="Calibri" w:eastAsia="楷体" w:cs="Calibri"/>
        </w:rPr>
      </w:pPr>
      <w:r>
        <w:rPr>
          <w:rFonts w:hint="eastAsia" w:ascii="Calibri" w:hAnsi="Calibri" w:eastAsia="楷体" w:cs="Calibri"/>
        </w:rPr>
        <w:t>近期，河北、江西等地区部分再生精铅炼厂正在复工过程中，预期7月份铅锭供应将有所增加，但是考虑到环保等因素导致还原铅炼厂复工的不确定性，精铅产量增长或有限。市场对于7月份终端电池市场的需求有改善预期，电池旺季的到来有望进一步释放铅市需求，提振铅价。目前基本面无亮点情况下，保持震荡思路为宜。</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52" w:name="_Toc518221414"/>
      <w:r>
        <w:rPr>
          <w:rFonts w:ascii="楷体" w:hAnsi="楷体" w:eastAsia="楷体" w:cs="黑体"/>
          <w:b/>
          <w:color w:val="C00000"/>
          <w:sz w:val="24"/>
          <w:szCs w:val="32"/>
        </w:rPr>
        <w:t xml:space="preserve">3 </w:t>
      </w:r>
      <w:r>
        <w:rPr>
          <w:rFonts w:hint="eastAsia" w:ascii="楷体" w:hAnsi="楷体" w:eastAsia="楷体" w:cs="黑体"/>
          <w:b/>
          <w:color w:val="C00000"/>
          <w:sz w:val="24"/>
          <w:szCs w:val="32"/>
        </w:rPr>
        <w:t>铅期货现货数据</w:t>
      </w:r>
      <w:bookmarkEnd w:id="152"/>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53" w:name="_Toc513836714"/>
                  <w:bookmarkStart w:id="154" w:name="_Toc513836643"/>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30</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铅价格指数</w:t>
                  </w:r>
                  <w:bookmarkEnd w:id="153"/>
                  <w:bookmarkEnd w:id="154"/>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55" w:name="_Toc513836715"/>
                  <w:bookmarkStart w:id="156" w:name="_Toc51383664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31</w:t>
                  </w:r>
                  <w:r>
                    <w:rPr>
                      <w:rFonts w:ascii="楷体" w:hAnsi="楷体" w:eastAsia="楷体"/>
                      <w:i/>
                      <w:color w:val="002060"/>
                    </w:rPr>
                    <w:fldChar w:fldCharType="end"/>
                  </w:r>
                  <w:r>
                    <w:rPr>
                      <w:rFonts w:hint="eastAsia" w:ascii="楷体" w:hAnsi="楷体" w:eastAsia="楷体"/>
                      <w:i/>
                      <w:color w:val="002060"/>
                    </w:rPr>
                    <w:t>：LME铅升贴水</w:t>
                  </w:r>
                  <w:bookmarkEnd w:id="155"/>
                  <w:bookmarkEnd w:id="1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8" o:spid="_x0000_s1056" type="#_x0000_t75" style="height:141.75pt;width:226.75pt;rotation:0f;" o:ole="f" fillcolor="#FFFFFF" filled="f" o:preferrelative="t" stroked="f" coordorigin="0,0" coordsize="21600,21600">
                        <v:fill on="f" color2="#FFFFFF" focus="0%"/>
                        <v:imagedata gain="65536f" blacklevel="0f" gamma="0" o:title="" r:id="rId42"/>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9" o:spid="_x0000_s1057" type="#_x0000_t75" style="height:141.75pt;width:226.75pt;rotation:0f;" o:ole="f" fillcolor="#FFFFFF" filled="f" o:preferrelative="t" stroked="f" coordorigin="0,0" coordsize="21600,21600">
                        <v:fill on="f" color2="#FFFFFF" focus="0%"/>
                        <v:imagedata gain="65536f" blacklevel="0f" gamma="0" o:title="" r:id="rId43"/>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57" w:name="_Toc513836716"/>
                  <w:bookmarkStart w:id="158" w:name="_Toc51383664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32</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交易所铅库存</w:t>
                  </w:r>
                  <w:bookmarkEnd w:id="157"/>
                  <w:bookmarkEnd w:id="158"/>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59" w:name="_Toc513836717"/>
                  <w:bookmarkStart w:id="160" w:name="_Toc51383664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33</w:t>
                  </w:r>
                  <w:r>
                    <w:rPr>
                      <w:rFonts w:ascii="楷体" w:hAnsi="楷体" w:eastAsia="楷体"/>
                      <w:i/>
                      <w:color w:val="002060"/>
                    </w:rPr>
                    <w:fldChar w:fldCharType="end"/>
                  </w:r>
                  <w:r>
                    <w:rPr>
                      <w:rFonts w:hint="eastAsia" w:ascii="楷体" w:hAnsi="楷体" w:eastAsia="楷体"/>
                      <w:i/>
                      <w:color w:val="002060"/>
                    </w:rPr>
                    <w:t>：铅供需平衡</w:t>
                  </w:r>
                  <w:bookmarkEnd w:id="159"/>
                  <w:bookmarkEnd w:id="1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20" o:spid="_x0000_s1058" type="#_x0000_t75" style="height:141.75pt;width:226.75pt;rotation:0f;" o:ole="f" fillcolor="#FFFFFF" filled="f" o:preferrelative="t" stroked="f" coordorigin="0,0" coordsize="21600,21600">
                        <v:fill on="f" color2="#FFFFFF" focus="0%"/>
                        <v:imagedata gain="65536f" blacklevel="0f" gamma="0" o:title="" r:id="rId44"/>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21" o:spid="_x0000_s1059" type="#_x0000_t75" style="height:141.75pt;width:226.75pt;rotation:0f;" o:ole="f" fillcolor="#FFFFFF" filled="f" o:preferrelative="t" stroked="f" coordorigin="0,0" coordsize="21600,21600">
                        <v:fill on="f" color2="#FFFFFF" focus="0%"/>
                        <v:imagedata gain="65536f" blacklevel="0f" gamma="0" o:title="" r:id="rId45"/>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8051" w:type="dxa"/>
        <w:tblInd w:w="2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5" w:hRule="atLeast"/>
        </w:trPr>
        <w:tc>
          <w:tcPr>
            <w:tcW w:w="8051" w:type="dxa"/>
            <w:vAlign w:val="center"/>
          </w:tcPr>
          <w:tbl>
            <w:tblPr>
              <w:tblStyle w:val="30"/>
              <w:tblW w:w="78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826" w:type="dxa"/>
                  <w:tcBorders>
                    <w:bottom w:val="single" w:color="002060" w:sz="6" w:space="0"/>
                  </w:tcBorders>
                  <w:vAlign w:val="top"/>
                </w:tcPr>
                <w:p>
                  <w:pPr>
                    <w:keepNext/>
                    <w:spacing w:before="0" w:beforeLines="0" w:after="0" w:afterLines="0"/>
                    <w:jc w:val="left"/>
                    <w:rPr>
                      <w:rFonts w:ascii="Calibri" w:hAnsi="Calibri" w:eastAsia="楷体" w:cs="Calibri"/>
                    </w:rPr>
                  </w:pPr>
                  <w:bookmarkStart w:id="161" w:name="_Toc513836718"/>
                  <w:bookmarkStart w:id="162" w:name="_Toc513836647"/>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34</w:t>
                  </w:r>
                  <w:r>
                    <w:rPr>
                      <w:rFonts w:ascii="楷体" w:hAnsi="楷体" w:eastAsia="楷体"/>
                      <w:i/>
                      <w:color w:val="002060"/>
                    </w:rPr>
                    <w:fldChar w:fldCharType="end"/>
                  </w:r>
                  <w:r>
                    <w:rPr>
                      <w:rFonts w:hint="eastAsia" w:ascii="楷体" w:hAnsi="楷体" w:eastAsia="楷体"/>
                      <w:i/>
                      <w:color w:val="002060"/>
                    </w:rPr>
                    <w:t>：铅</w:t>
                  </w:r>
                  <w:r>
                    <w:rPr>
                      <w:rFonts w:ascii="楷体" w:hAnsi="楷体" w:eastAsia="楷体"/>
                      <w:i/>
                      <w:color w:val="002060"/>
                    </w:rPr>
                    <w:t>产量</w:t>
                  </w:r>
                  <w:bookmarkEnd w:id="161"/>
                  <w:bookmarkEnd w:id="1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trPr>
              <w:tc>
                <w:tcPr>
                  <w:tcW w:w="7826" w:type="dxa"/>
                  <w:tcBorders>
                    <w:top w:val="single" w:color="002060" w:sz="6" w:space="0"/>
                    <w:bottom w:val="single" w:color="002060" w:sz="6" w:space="0"/>
                  </w:tcBorders>
                  <w:vAlign w:val="center"/>
                </w:tcPr>
                <w:p>
                  <w:pPr>
                    <w:spacing w:before="0" w:beforeLines="0" w:after="0" w:afterLines="0"/>
                    <w:jc w:val="center"/>
                    <w:rPr>
                      <w:rFonts w:ascii="Calibri" w:hAnsi="Calibri" w:eastAsia="楷体" w:cs="Calibri"/>
                    </w:rPr>
                  </w:pPr>
                  <w:r>
                    <w:rPr>
                      <w:rFonts w:ascii="Calibri" w:hAnsi="Calibri" w:eastAsia="宋体" w:cs="Times New Roman"/>
                      <w:kern w:val="2"/>
                      <w:sz w:val="21"/>
                      <w:szCs w:val="22"/>
                      <w:lang w:val="en-US" w:eastAsia="zh-CN" w:bidi="ar-SA"/>
                    </w:rPr>
                    <w:pict>
                      <v:shape id="图表 224" o:spid="_x0000_s1060" type="#_x0000_t75" style="height:141.75pt;width:368.5pt;rotation:0f;" o:ole="f" fillcolor="#FFFFFF" filled="f" o:preferrelative="t" stroked="f" coordorigin="0,0" coordsize="21600,21600">
                        <v:fill on="f" color2="#FFFFFF" focus="0%"/>
                        <v:imagedata gain="65536f" blacklevel="0f" gamma="0" o:title="" r:id="rId46"/>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826" w:type="dxa"/>
                  <w:tcBorders>
                    <w:top w:val="single" w:color="002060" w:sz="6" w:space="0"/>
                  </w:tcBorders>
                  <w:vAlign w:val="top"/>
                </w:tcPr>
                <w:p>
                  <w:pPr>
                    <w:spacing w:before="0" w:beforeLines="0" w:after="0" w:afterLines="0"/>
                    <w:jc w:val="left"/>
                    <w:rPr>
                      <w:rFonts w:ascii="Calibri" w:hAnsi="Calibri" w:eastAsia="楷体" w:cs="Calibri"/>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240" w:lineRule="exact"/>
              <w:jc w:val="center"/>
              <w:rPr>
                <w:rFonts w:ascii="Calibri" w:hAnsi="Calibri" w:eastAsia="楷体" w:cs="Calibri"/>
              </w:rPr>
            </w:pPr>
          </w:p>
        </w:tc>
      </w:tr>
    </w:tbl>
    <w:p>
      <w:pPr>
        <w:spacing w:before="156" w:after="156" w:line="240" w:lineRule="exact"/>
        <w:ind w:left="2415" w:leftChars="1150"/>
        <w:rPr>
          <w:rFonts w:ascii="Times New Roman" w:hAnsi="Times New Roman"/>
          <w:sz w:val="18"/>
        </w:rPr>
      </w:pPr>
      <w:r>
        <w:rPr>
          <w:rFonts w:ascii="Times New Roman" w:hAnsi="Times New Roman"/>
          <w:sz w:val="18"/>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163" w:name="_Toc511512893"/>
      <w:bookmarkStart w:id="164" w:name="_Toc511513005"/>
      <w:bookmarkStart w:id="165" w:name="_Toc511581211"/>
      <w:bookmarkStart w:id="166" w:name="_Toc513394781"/>
      <w:bookmarkStart w:id="167" w:name="_Toc513901744"/>
      <w:bookmarkStart w:id="168" w:name="_Toc518221415"/>
      <w:r>
        <w:rPr>
          <w:rFonts w:ascii="楷体" w:hAnsi="楷体" w:eastAsia="楷体" w:cs="黑体"/>
          <w:b/>
          <w:color w:val="C00000"/>
          <w:sz w:val="28"/>
          <w:szCs w:val="32"/>
        </w:rPr>
        <w:t>黑色金属</w:t>
      </w:r>
      <w:bookmarkEnd w:id="163"/>
      <w:bookmarkEnd w:id="164"/>
      <w:bookmarkEnd w:id="165"/>
      <w:bookmarkEnd w:id="166"/>
      <w:bookmarkEnd w:id="167"/>
      <w:bookmarkEnd w:id="168"/>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69" w:name="_Toc511512894"/>
      <w:bookmarkStart w:id="170" w:name="_Toc511513006"/>
      <w:bookmarkStart w:id="171" w:name="_Toc511581212"/>
      <w:bookmarkStart w:id="172" w:name="_Toc513394782"/>
      <w:bookmarkStart w:id="173" w:name="_Toc513901745"/>
      <w:bookmarkStart w:id="174" w:name="_Toc518221416"/>
      <w:r>
        <w:rPr>
          <w:rFonts w:ascii="楷体" w:hAnsi="楷体" w:eastAsia="楷体" w:cs="黑体"/>
          <w:b/>
          <w:color w:val="C00000"/>
          <w:sz w:val="24"/>
          <w:szCs w:val="32"/>
        </w:rPr>
        <w:t xml:space="preserve">1 </w:t>
      </w:r>
      <w:bookmarkEnd w:id="169"/>
      <w:bookmarkEnd w:id="170"/>
      <w:bookmarkEnd w:id="171"/>
      <w:bookmarkEnd w:id="172"/>
      <w:bookmarkEnd w:id="173"/>
      <w:r>
        <w:rPr>
          <w:rFonts w:hint="eastAsia" w:ascii="楷体" w:hAnsi="楷体" w:eastAsia="楷体" w:cs="黑体"/>
          <w:b/>
          <w:color w:val="C00000"/>
          <w:sz w:val="24"/>
          <w:szCs w:val="32"/>
        </w:rPr>
        <w:t>行情分析</w:t>
      </w:r>
      <w:bookmarkEnd w:id="174"/>
    </w:p>
    <w:p>
      <w:pPr>
        <w:spacing w:before="156" w:after="156" w:line="240" w:lineRule="exact"/>
        <w:ind w:left="2415" w:leftChars="1150"/>
        <w:rPr>
          <w:rFonts w:ascii="Calibri" w:hAnsi="Calibri" w:eastAsia="楷体" w:cs="Calibri"/>
        </w:rPr>
      </w:pPr>
      <w:r>
        <w:rPr>
          <w:rFonts w:hint="eastAsia" w:ascii="Calibri" w:hAnsi="Calibri" w:eastAsia="楷体" w:cs="Calibri"/>
        </w:rPr>
        <w:t>本周黑色系品种在特朗普决定不对中国投资采取最严厉的措施刺激下，同时在沙钢股份被生态环保部通报等环保影响下，价格出现反弹。钢材方面从基本面供需以及库存角度看偏空，焦炭在徐州复产预期以及沙钢自备焦炉是否限产下走势纠结，但现货价格已经开始第一轮提降，铁矿石在人民币贬值下对价格起到了提振。</w:t>
      </w:r>
    </w:p>
    <w:p>
      <w:pPr>
        <w:spacing w:before="156" w:after="156" w:line="240" w:lineRule="exact"/>
        <w:ind w:left="2415" w:leftChars="1150"/>
        <w:rPr>
          <w:rFonts w:ascii="Calibri" w:hAnsi="Calibri" w:eastAsia="楷体" w:cs="Calibri"/>
        </w:rPr>
      </w:pPr>
      <w:r>
        <w:rPr>
          <w:rFonts w:hint="eastAsia" w:ascii="Calibri" w:hAnsi="Calibri" w:eastAsia="楷体" w:cs="Calibri"/>
        </w:rPr>
        <w:t>本周宏观方面公布了PMI数据，6月官方PMI51.5，较上月回落0.4个百分点，开始有拐头向下迹象。主要分项指标看，生产指数回落0.5个百分点至53.6，新订单指数回落0.6个百分点至53.2，新出口订单指数49.8，降至荣枯线下且创3月以来新低，外需明显放缓，后期贸易战的负面作用也将显现。原材料库存指数回落至48.8，产成品库存微升至46.3，原材料库存持续回落，显示上游供给受环保影响仍偏紧，支撑上游工业品价格，上游挤压下游的现象仍在延续。整体看，供需都有走弱，趋势看后期需求走弱的影响更大。</w:t>
      </w:r>
    </w:p>
    <w:p>
      <w:pPr>
        <w:spacing w:before="156" w:after="156" w:line="240" w:lineRule="exact"/>
        <w:ind w:left="2415" w:leftChars="1150"/>
        <w:rPr>
          <w:rFonts w:ascii="Calibri" w:hAnsi="Calibri" w:eastAsia="楷体" w:cs="Calibri"/>
        </w:rPr>
      </w:pPr>
      <w:r>
        <w:rPr>
          <w:rFonts w:hint="eastAsia" w:ascii="Calibri" w:hAnsi="Calibri" w:eastAsia="楷体" w:cs="Calibri"/>
        </w:rPr>
        <w:t>行业方面，6月钢铁行业PMI51.6，环比回升1个百分点。主要分项指数看，生产指数、采购量指数回落，新订单指数、产成品库存指数、原材料库存指数小幅上升，新出口订单指数、购进价格指数升幅明显。环保限产及上合峰会对供应端产生短期影响，需求旺季的延迟，地产投资的韧性，对钢材需求产生了支撑。整体看，6月份PMI与钢价表现较为一致，后期进入淡季需求下行压力较大。</w:t>
      </w: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75" w:name="_Toc513836648"/>
                  <w:bookmarkStart w:id="176" w:name="_Toc51383671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35</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螺纹钢主力合约价格及持仓</w:t>
                  </w:r>
                  <w:bookmarkEnd w:id="175"/>
                  <w:bookmarkEnd w:id="176"/>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77" w:name="_Toc513836720"/>
                  <w:bookmarkStart w:id="178" w:name="_Toc51383664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36</w:t>
                  </w:r>
                  <w:r>
                    <w:rPr>
                      <w:rFonts w:ascii="楷体" w:hAnsi="楷体" w:eastAsia="楷体"/>
                      <w:i/>
                      <w:color w:val="002060"/>
                    </w:rPr>
                    <w:fldChar w:fldCharType="end"/>
                  </w:r>
                  <w:r>
                    <w:rPr>
                      <w:rFonts w:hint="eastAsia" w:ascii="楷体" w:hAnsi="楷体" w:eastAsia="楷体"/>
                      <w:i/>
                      <w:color w:val="002060"/>
                    </w:rPr>
                    <w:t>：铁矿石主力合约价格及持仓</w:t>
                  </w:r>
                  <w:bookmarkEnd w:id="177"/>
                  <w:bookmarkEnd w:id="17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26" o:spid="_x0000_s1061" type="#_x0000_t75" style="height:141.75pt;width:226.75pt;rotation:0f;" o:ole="f" fillcolor="#FFFFFF" filled="f" o:preferrelative="t" stroked="f" coordorigin="0,0" coordsize="21600,21600">
                        <v:fill on="f" color2="#FFFFFF" focus="0%"/>
                        <v:imagedata gain="65536f" blacklevel="0f" gamma="0" o:title="" r:id="rId47"/>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27" o:spid="_x0000_s1062" type="#_x0000_t75" style="height:141.75pt;width:226.75pt;rotation:0f;" o:ole="f" fillcolor="#FFFFFF" filled="f" o:preferrelative="t" stroked="f" coordorigin="0,0" coordsize="21600,21600">
                        <v:fill on="f" color2="#FFFFFF" focus="0%"/>
                        <v:imagedata gain="65536f" blacklevel="0f" gamma="0" o:title="" r:id="rId48"/>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79" w:name="_Toc511512895"/>
      <w:bookmarkStart w:id="180" w:name="_Toc511513007"/>
      <w:bookmarkStart w:id="181" w:name="_Toc511581213"/>
      <w:bookmarkStart w:id="182" w:name="_Toc513394783"/>
      <w:bookmarkStart w:id="183" w:name="_Toc513901746"/>
      <w:bookmarkStart w:id="184" w:name="_Toc518221417"/>
      <w:r>
        <w:rPr>
          <w:rFonts w:ascii="楷体" w:hAnsi="楷体" w:eastAsia="楷体" w:cs="黑体"/>
          <w:b/>
          <w:color w:val="C00000"/>
          <w:sz w:val="24"/>
          <w:szCs w:val="32"/>
        </w:rPr>
        <w:t xml:space="preserve">2 </w:t>
      </w:r>
      <w:bookmarkEnd w:id="179"/>
      <w:bookmarkEnd w:id="180"/>
      <w:bookmarkEnd w:id="181"/>
      <w:bookmarkEnd w:id="182"/>
      <w:bookmarkEnd w:id="183"/>
      <w:r>
        <w:rPr>
          <w:rFonts w:hint="eastAsia" w:ascii="楷体" w:hAnsi="楷体" w:eastAsia="楷体" w:cs="黑体"/>
          <w:b/>
          <w:color w:val="C00000"/>
          <w:sz w:val="24"/>
          <w:szCs w:val="32"/>
        </w:rPr>
        <w:t>供需端：供应平稳，需求转弱</w:t>
      </w:r>
      <w:bookmarkEnd w:id="184"/>
    </w:p>
    <w:p>
      <w:pPr>
        <w:spacing w:before="156" w:after="156" w:line="240" w:lineRule="exact"/>
        <w:ind w:left="2415" w:leftChars="1150"/>
        <w:rPr>
          <w:rFonts w:ascii="Calibri" w:hAnsi="Calibri" w:eastAsia="楷体" w:cs="Calibri"/>
        </w:rPr>
      </w:pPr>
      <w:r>
        <w:rPr>
          <w:rFonts w:hint="eastAsia" w:ascii="Calibri" w:hAnsi="Calibri" w:eastAsia="楷体" w:cs="Calibri"/>
        </w:rPr>
        <w:t>6月份钢铁行业PMI生产指数为52.5%，环比回落0.4个百分点。钢铁生产积极，市场供给相对充足。据中钢协统计，6月上旬钢协会员企业粗钢日均产量为198.02万吨，旬环比增加2.55万吨，增幅为1.3%。我们一直强调高利润下供应不是担心的问题，这是经济学的基本常识。从最新高炉开工率看，本周开工率到71.27%，较上周略有下滑，考虑7月上旬环保督察组1个月检查即将到期，后期开工率将有所回升。</w:t>
      </w:r>
    </w:p>
    <w:p>
      <w:pPr>
        <w:spacing w:before="156" w:after="156" w:line="240" w:lineRule="exact"/>
        <w:ind w:left="2415" w:leftChars="1150"/>
        <w:rPr>
          <w:rFonts w:ascii="Calibri" w:hAnsi="Calibri" w:eastAsia="楷体" w:cs="Calibri"/>
        </w:rPr>
      </w:pPr>
      <w:r>
        <w:rPr>
          <w:rFonts w:hint="eastAsia" w:ascii="Calibri" w:hAnsi="Calibri" w:eastAsia="楷体" w:cs="Calibri"/>
        </w:rPr>
        <w:t>本周库存数据延续增加态势。从主要品种的社会库存看，截止6月29日，国内主要钢材品种库存总量为1028.61万吨，较6月22日上升16.61万吨，环比回升1.64%；国内螺纹钢社会库存量由478.76万吨回升3.67万吨至482.43万吨，环比升0.11%，钢厂螺纹钢库存增10.61万吨；热卷社会库存增5.08万吨至211.46万吨，环比回升2.46%，钢厂热卷库存增0.55万吨。库存延续回升，需求走弱明显。</w:t>
      </w: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85" w:name="_Toc513836721"/>
                  <w:bookmarkStart w:id="186" w:name="_Toc51383665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钢厂铁矿库存及高炉开工率</w:t>
                  </w:r>
                  <w:bookmarkEnd w:id="185"/>
                  <w:bookmarkEnd w:id="186"/>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87" w:name="_Toc513836651"/>
                  <w:bookmarkStart w:id="188" w:name="_Toc51383672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38</w:t>
                  </w:r>
                  <w:r>
                    <w:rPr>
                      <w:rFonts w:ascii="楷体" w:hAnsi="楷体" w:eastAsia="楷体"/>
                      <w:i/>
                      <w:color w:val="002060"/>
                    </w:rPr>
                    <w:fldChar w:fldCharType="end"/>
                  </w:r>
                  <w:r>
                    <w:rPr>
                      <w:rFonts w:hint="eastAsia" w:ascii="楷体" w:hAnsi="楷体" w:eastAsia="楷体"/>
                      <w:i/>
                      <w:color w:val="002060"/>
                    </w:rPr>
                    <w:t>：全国主要钢材及螺纹钢库存总量</w:t>
                  </w:r>
                  <w:bookmarkEnd w:id="187"/>
                  <w:bookmarkEnd w:id="18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28" o:spid="_x0000_s1063" type="#_x0000_t75" style="height:141.75pt;width:226.75pt;rotation:0f;" o:ole="f" fillcolor="#FFFFFF" filled="f" o:preferrelative="t" stroked="f" coordorigin="0,0" coordsize="21600,21600">
                        <v:fill on="f" color2="#FFFFFF" focus="0%"/>
                        <v:imagedata gain="65536f" blacklevel="0f" gamma="0" o:title="" r:id="rId49"/>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29" o:spid="_x0000_s1064" type="#_x0000_t75" style="height:141.75pt;width:226.75pt;rotation:0f;" o:ole="f" fillcolor="#FFFFFF" filled="f" o:preferrelative="t" stroked="f" coordorigin="0,0" coordsize="21600,21600">
                        <v:fill on="f" color2="#FFFFFF" focus="0%"/>
                        <v:imagedata gain="65536f" blacklevel="0f" gamma="0" o:title="" r:id="rId50"/>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89" w:name="_Toc513836652"/>
                  <w:bookmarkStart w:id="190" w:name="_Toc513836723"/>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重点企业钢材库存</w:t>
                  </w:r>
                  <w:bookmarkEnd w:id="189"/>
                  <w:bookmarkEnd w:id="190"/>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191" w:name="_Toc513836653"/>
                  <w:bookmarkStart w:id="192" w:name="_Toc51383672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40</w:t>
                  </w:r>
                  <w:r>
                    <w:rPr>
                      <w:rFonts w:ascii="楷体" w:hAnsi="楷体" w:eastAsia="楷体"/>
                      <w:i/>
                      <w:color w:val="002060"/>
                    </w:rPr>
                    <w:fldChar w:fldCharType="end"/>
                  </w:r>
                  <w:r>
                    <w:rPr>
                      <w:rFonts w:hint="eastAsia" w:ascii="楷体" w:hAnsi="楷体" w:eastAsia="楷体"/>
                      <w:i/>
                      <w:color w:val="002060"/>
                    </w:rPr>
                    <w:t>：沪市终端线螺每周采购量监控</w:t>
                  </w:r>
                  <w:bookmarkEnd w:id="191"/>
                  <w:bookmarkEnd w:id="19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1" o:spid="_x0000_s1065" type="#_x0000_t75" style="height:141.75pt;width:226.75pt;rotation:0f;" o:ole="f" fillcolor="#FFFFFF" filled="f" o:preferrelative="t" stroked="f" coordorigin="0,0" coordsize="21600,21600">
                        <v:fill on="f" color2="#FFFFFF" focus="0%"/>
                        <v:imagedata gain="65536f" blacklevel="0f" gamma="0" o:title="" r:id="rId51"/>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0" o:spid="_x0000_s1066" type="#_x0000_t75" style="height:141.75pt;width:226.75pt;rotation:0f;" o:ole="f" fillcolor="#FFFFFF" filled="f" o:preferrelative="t" stroked="f" coordorigin="0,0" coordsize="21600,21600">
                        <v:fill on="f" color2="#FFFFFF" focus="0%"/>
                        <v:imagedata gain="65536f" blacklevel="0f" gamma="0" o:title="" r:id="rId52"/>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156" w:after="156" w:line="240" w:lineRule="exact"/>
        <w:ind w:left="2415" w:leftChars="1150"/>
        <w:rPr>
          <w:rFonts w:ascii="Calibri" w:hAnsi="Calibri" w:eastAsia="楷体" w:cs="Calibri"/>
        </w:rPr>
      </w:pPr>
      <w:r>
        <w:rPr>
          <w:rFonts w:hint="eastAsia" w:ascii="Calibri" w:hAnsi="Calibri" w:eastAsia="楷体" w:cs="Calibri"/>
        </w:rPr>
        <w:t>6月新订单指数为52.7%，环比回升1.1个百分点，新出口订单指数为49.7%，环比回升7.2个百分点，反应整个需求端旺季的延续，地产投资韧性较强对钢材需求的支撑明显。但需要注意的是6月下旬以来需求开始明显下滑，华南进入高温季梅雨季，工地施工难度增加，下游成交明显走弱。出口的回暖与企业担心贸易战抢跑有关，随着全球贸易战的不确定性增加，后期出口压力增大。从沪线螺终端日均采购量看，截至6月29日，沪线螺终端日均采购量27233吨，较上周回升7013吨。</w:t>
      </w:r>
    </w:p>
    <w:p>
      <w:pPr>
        <w:spacing w:before="156" w:after="156" w:line="240" w:lineRule="exact"/>
        <w:ind w:left="2415" w:leftChars="1150"/>
        <w:rPr>
          <w:rFonts w:ascii="Calibri" w:hAnsi="Calibri" w:eastAsia="楷体" w:cs="Calibri"/>
        </w:rPr>
      </w:pPr>
      <w:r>
        <w:rPr>
          <w:rFonts w:hint="eastAsia" w:ascii="Calibri" w:hAnsi="Calibri" w:eastAsia="楷体" w:cs="Calibri"/>
        </w:rPr>
        <w:t>整体看，高利润下维持高供应，需求开始走弱，价格高位承压。</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193" w:name="_Toc511512896"/>
      <w:bookmarkStart w:id="194" w:name="_Toc511513008"/>
      <w:bookmarkStart w:id="195" w:name="_Toc511581214"/>
      <w:bookmarkStart w:id="196" w:name="_Toc513394784"/>
      <w:bookmarkStart w:id="197" w:name="_Toc513901747"/>
      <w:bookmarkStart w:id="198" w:name="_Toc518221418"/>
      <w:r>
        <w:rPr>
          <w:rFonts w:ascii="楷体" w:hAnsi="楷体" w:eastAsia="楷体" w:cs="黑体"/>
          <w:b/>
          <w:color w:val="C00000"/>
          <w:sz w:val="24"/>
          <w:szCs w:val="32"/>
        </w:rPr>
        <w:t xml:space="preserve">3 </w:t>
      </w:r>
      <w:bookmarkEnd w:id="193"/>
      <w:bookmarkEnd w:id="194"/>
      <w:bookmarkEnd w:id="195"/>
      <w:bookmarkEnd w:id="196"/>
      <w:bookmarkEnd w:id="197"/>
      <w:r>
        <w:rPr>
          <w:rFonts w:hint="eastAsia" w:ascii="楷体" w:hAnsi="楷体" w:eastAsia="楷体" w:cs="黑体"/>
          <w:b/>
          <w:color w:val="C00000"/>
          <w:sz w:val="24"/>
          <w:szCs w:val="32"/>
        </w:rPr>
        <w:t>原料端：人民币贬值提振矿石价格，焦炭博弈难度增加</w:t>
      </w:r>
      <w:bookmarkEnd w:id="198"/>
    </w:p>
    <w:p>
      <w:pPr>
        <w:spacing w:before="156" w:after="156" w:line="240" w:lineRule="exact"/>
        <w:ind w:left="2415" w:leftChars="1150"/>
        <w:rPr>
          <w:rFonts w:ascii="Calibri" w:hAnsi="Calibri" w:eastAsia="楷体" w:cs="Calibri"/>
        </w:rPr>
      </w:pPr>
      <w:r>
        <w:rPr>
          <w:rFonts w:hint="eastAsia" w:ascii="Calibri" w:hAnsi="Calibri" w:eastAsia="楷体" w:cs="Calibri"/>
        </w:rPr>
        <w:t>铁矿石方面，本周进口矿市场价格震荡上涨，截止6月29日，普氏62%进口矿指数报64.45美元/吨，较上周末涨0.55美元/吨。从大中型钢厂进口矿平均可用天数看，最新钢材库存维持在26.5天，略有回升。近期钢厂开工率维持平稳，需求端较为平稳，钢厂采购积极性不高，基本按需采购。环保限产下低铝粉需求较好，也是高品位的粉矿，但从港口库存看，高品矿占比仍较高，短期不会出现高品矿短缺问题，主要也是今年外矿增量以高品矿为主。库存方面，全国要港口进口铁矿石库存为15580万吨，较上周上升91万吨。</w:t>
      </w:r>
    </w:p>
    <w:p>
      <w:pPr>
        <w:spacing w:before="156" w:after="156" w:line="240" w:lineRule="exact"/>
        <w:ind w:left="2415" w:leftChars="1150"/>
        <w:rPr>
          <w:rFonts w:ascii="Calibri" w:hAnsi="Calibri" w:eastAsia="楷体" w:cs="Calibri"/>
        </w:rPr>
      </w:pPr>
      <w:r>
        <w:rPr>
          <w:rFonts w:hint="eastAsia" w:ascii="Calibri" w:hAnsi="Calibri" w:eastAsia="楷体" w:cs="Calibri"/>
        </w:rPr>
        <w:t>盘面上看，人民币近12个交易日连续贬值，贬值幅度近4%，对美元标价的铁矿提振较为明显。近期市场上出现一种新澳洲粉矿-RTX-F（普氏定价），据了解，此矿是力拓生产，前期主要作为配矿混入PB粉中出售，目前为了提升PB粉的品质，被单独筛选出来进行销售。货物品质与主流货有一定差距，但符合大商所的交割标准，可用于交割，但在生产使用上存在较大问题，目前用来交割有交割利润，对盘面也会有一定抑制。</w:t>
      </w:r>
    </w:p>
    <w:p>
      <w:pPr>
        <w:spacing w:before="156" w:after="156" w:line="240" w:lineRule="exact"/>
        <w:ind w:left="2415" w:leftChars="1150"/>
        <w:rPr>
          <w:rFonts w:ascii="Calibri" w:hAnsi="Calibri" w:eastAsia="楷体" w:cs="Calibri"/>
        </w:rPr>
      </w:pPr>
      <w:r>
        <w:rPr>
          <w:rFonts w:hint="eastAsia" w:ascii="Calibri" w:hAnsi="Calibri" w:eastAsia="楷体" w:cs="Calibri"/>
        </w:rPr>
        <w:t>铁矿石基本面仍未改善，在钢材走弱下，铁矿石价格上方空间不大，470-480区间可择机抛空。</w:t>
      </w: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99" w:name="_Toc513836725"/>
                  <w:bookmarkStart w:id="200" w:name="_Toc51383665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国内铁矿石港口库存</w:t>
                  </w:r>
                  <w:bookmarkEnd w:id="199"/>
                  <w:bookmarkEnd w:id="200"/>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01" w:name="_Toc513836726"/>
                  <w:bookmarkStart w:id="202" w:name="_Toc51383665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42</w:t>
                  </w:r>
                  <w:r>
                    <w:rPr>
                      <w:rFonts w:ascii="楷体" w:hAnsi="楷体" w:eastAsia="楷体"/>
                      <w:i/>
                      <w:color w:val="002060"/>
                    </w:rPr>
                    <w:fldChar w:fldCharType="end"/>
                  </w:r>
                  <w:r>
                    <w:rPr>
                      <w:rFonts w:hint="eastAsia" w:ascii="楷体" w:hAnsi="楷体" w:eastAsia="楷体"/>
                      <w:i/>
                      <w:color w:val="002060"/>
                    </w:rPr>
                    <w:t>：焦炭库存可用天数</w:t>
                  </w:r>
                  <w:bookmarkEnd w:id="201"/>
                  <w:bookmarkEnd w:id="20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2" o:spid="_x0000_s1067" type="#_x0000_t75" style="height:141.75pt;width:226.75pt;rotation:0f;" o:ole="f" fillcolor="#FFFFFF" filled="f" o:preferrelative="t" stroked="f" coordorigin="0,0" coordsize="21600,21600">
                        <v:fill on="f" color2="#FFFFFF" focus="0%"/>
                        <v:imagedata gain="65536f" blacklevel="0f" gamma="0" o:title="" r:id="rId53"/>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3" o:spid="_x0000_s1068" type="#_x0000_t75" style="height:141.75pt;width:226.75pt;rotation:0f;" o:ole="f" fillcolor="#FFFFFF" filled="f" o:preferrelative="t" stroked="f" coordorigin="0,0" coordsize="21600,21600">
                        <v:fill on="f" color2="#FFFFFF" focus="0%"/>
                        <v:imagedata gain="65536f" blacklevel="0f" gamma="0" o:title="" r:id="rId54"/>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03" w:name="_Toc513836656"/>
                  <w:bookmarkStart w:id="204" w:name="_Toc513836727"/>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铁矿石原矿产量</w:t>
                  </w:r>
                  <w:bookmarkEnd w:id="203"/>
                  <w:bookmarkEnd w:id="204"/>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05" w:name="_Toc513836657"/>
                  <w:bookmarkStart w:id="206" w:name="_Toc51383672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44</w:t>
                  </w:r>
                  <w:r>
                    <w:rPr>
                      <w:rFonts w:ascii="楷体" w:hAnsi="楷体" w:eastAsia="楷体"/>
                      <w:i/>
                      <w:color w:val="002060"/>
                    </w:rPr>
                    <w:fldChar w:fldCharType="end"/>
                  </w:r>
                  <w:r>
                    <w:rPr>
                      <w:rFonts w:hint="eastAsia" w:ascii="楷体" w:hAnsi="楷体" w:eastAsia="楷体"/>
                      <w:i/>
                      <w:color w:val="002060"/>
                    </w:rPr>
                    <w:t>：铁矿石进口数量</w:t>
                  </w:r>
                  <w:bookmarkEnd w:id="205"/>
                  <w:bookmarkEnd w:id="20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5" o:spid="_x0000_s1069" type="#_x0000_t75" style="height:141.75pt;width:226.75pt;rotation:0f;" o:ole="f" fillcolor="#FFFFFF" filled="f" o:preferrelative="t" stroked="f" coordorigin="0,0" coordsize="21600,21600">
                        <v:fill on="f" color2="#FFFFFF" focus="0%"/>
                        <v:imagedata gain="65536f" blacklevel="0f" gamma="0" o:title="" r:id="rId55"/>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4" o:spid="_x0000_s1070" type="#_x0000_t75" style="height:141.75pt;width:226.75pt;rotation:0f;" o:ole="f" fillcolor="#FFFFFF" filled="f" o:preferrelative="t" stroked="f" coordorigin="0,0" coordsize="21600,21600">
                        <v:fill on="f" color2="#FFFFFF" focus="0%"/>
                        <v:imagedata gain="65536f" blacklevel="0f" gamma="0" o:title="" r:id="rId56"/>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156" w:after="156" w:line="240" w:lineRule="exact"/>
        <w:ind w:left="2415" w:leftChars="1150"/>
        <w:rPr>
          <w:rFonts w:ascii="Calibri" w:hAnsi="Calibri" w:eastAsia="楷体" w:cs="Calibri"/>
        </w:rPr>
      </w:pPr>
      <w:r>
        <w:rPr>
          <w:rFonts w:hint="eastAsia" w:ascii="Calibri" w:hAnsi="Calibri" w:eastAsia="楷体" w:cs="Calibri"/>
        </w:rPr>
        <w:t>焦炭方面，本周焦炭现货价格方面钢厂开启第一轮调降，据悉山东某大型钢厂于2018年7月1日0点起，对采购焦炭价格下调50元/吨，降后湿熄焦省内执行2300元/吨，省外执行2310元/吨。干熄焦执行2470元/吨，不分省内省外。同时上西地区有钢厂也开始调降50元/吨。在钢材需求走弱预期下，焦炭价格开启降价。目前市场博弈的点在于徐州地区焦化厂的复产，据悉个别焦化厂已经获得批复通知，正式复产市场预估在下周环保督查组结束。正常复产预期下，价格会震荡下跌。但本周沙钢股份环保污染问题又让走势产生了不确定性，沙钢自有焦化目前并未停产整改，新闻要求年底整改完成，具体后期仍需关注。</w:t>
      </w:r>
    </w:p>
    <w:p>
      <w:pPr>
        <w:spacing w:before="156" w:after="156" w:line="240" w:lineRule="exact"/>
        <w:ind w:left="2415" w:leftChars="1150"/>
        <w:rPr>
          <w:rFonts w:ascii="Calibri" w:hAnsi="Calibri" w:eastAsia="楷体" w:cs="Calibri"/>
        </w:rPr>
      </w:pPr>
      <w:r>
        <w:rPr>
          <w:rFonts w:hint="eastAsia" w:ascii="Calibri" w:hAnsi="Calibri" w:eastAsia="楷体" w:cs="Calibri"/>
        </w:rPr>
        <w:t>焦炭短期博弈难度增加，价格2100以上可以轻仓试空。</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07" w:name="_Toc511513009"/>
      <w:bookmarkStart w:id="208" w:name="_Toc511581215"/>
      <w:bookmarkStart w:id="209" w:name="_Toc513394785"/>
      <w:bookmarkStart w:id="210" w:name="_Toc513901748"/>
      <w:bookmarkStart w:id="211" w:name="_Toc518221419"/>
      <w:bookmarkStart w:id="212" w:name="_Toc511512897"/>
      <w:r>
        <w:rPr>
          <w:rFonts w:ascii="楷体" w:hAnsi="楷体" w:eastAsia="楷体" w:cs="黑体"/>
          <w:b/>
          <w:color w:val="C00000"/>
          <w:sz w:val="24"/>
          <w:szCs w:val="32"/>
        </w:rPr>
        <w:t>4 总结与建议</w:t>
      </w:r>
      <w:bookmarkEnd w:id="207"/>
      <w:bookmarkEnd w:id="208"/>
      <w:bookmarkEnd w:id="209"/>
      <w:bookmarkEnd w:id="210"/>
      <w:bookmarkEnd w:id="211"/>
      <w:bookmarkEnd w:id="212"/>
    </w:p>
    <w:p>
      <w:pPr>
        <w:spacing w:before="156" w:after="156" w:line="240" w:lineRule="exact"/>
        <w:ind w:left="2415" w:leftChars="1150"/>
        <w:rPr>
          <w:rFonts w:ascii="Times New Roman" w:hAnsi="Times New Roman"/>
          <w:sz w:val="18"/>
        </w:rPr>
      </w:pPr>
      <w:r>
        <w:rPr>
          <w:rFonts w:hint="eastAsia" w:ascii="Calibri" w:hAnsi="Calibri" w:eastAsia="楷体" w:cs="Calibri"/>
        </w:rPr>
        <w:t>宏观利空因素累积，钢材高利润下维持高供应，环保边际影响有限，中长期需求下滑压力大，需求开始季节性走弱，操作上轻仓抛空。焦炭在徐州复产与沙钢环保污染博弈，焦炭贴水多难操作，煤焦做空仍选焦煤。铁矿石供需无太大变化，人民币提振利多及新型交割品利空博弈，价格难有太大上行空间，470-480区间可择机抛空。</w:t>
      </w:r>
      <w:r>
        <w:rPr>
          <w:rFonts w:ascii="Times New Roman" w:hAnsi="Times New Roman"/>
          <w:sz w:val="18"/>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213" w:name="_Toc511513010"/>
      <w:bookmarkStart w:id="214" w:name="_Toc511581216"/>
      <w:bookmarkStart w:id="215" w:name="_Toc513394786"/>
      <w:bookmarkStart w:id="216" w:name="_Toc513901749"/>
      <w:bookmarkStart w:id="217" w:name="_Toc518221420"/>
      <w:bookmarkStart w:id="218" w:name="_Toc511512898"/>
      <w:r>
        <w:rPr>
          <w:rFonts w:ascii="楷体" w:hAnsi="楷体" w:eastAsia="楷体" w:cs="黑体"/>
          <w:b/>
          <w:color w:val="C00000"/>
          <w:sz w:val="28"/>
          <w:szCs w:val="32"/>
        </w:rPr>
        <w:t>甲醇</w:t>
      </w:r>
      <w:bookmarkEnd w:id="213"/>
      <w:bookmarkEnd w:id="214"/>
      <w:bookmarkEnd w:id="215"/>
      <w:bookmarkEnd w:id="216"/>
      <w:bookmarkEnd w:id="217"/>
      <w:bookmarkEnd w:id="218"/>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19" w:name="_Toc518221421"/>
      <w:bookmarkStart w:id="220" w:name="_Toc513901750"/>
      <w:r>
        <w:rPr>
          <w:rFonts w:hint="eastAsia" w:ascii="楷体" w:hAnsi="楷体" w:eastAsia="楷体" w:cs="黑体"/>
          <w:b/>
          <w:color w:val="C00000"/>
          <w:sz w:val="24"/>
          <w:szCs w:val="32"/>
        </w:rPr>
        <w:t>1</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甲醇市场供求分析</w:t>
      </w:r>
      <w:bookmarkEnd w:id="219"/>
      <w:bookmarkEnd w:id="220"/>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现货运行情况</w:t>
      </w:r>
    </w:p>
    <w:p>
      <w:pPr>
        <w:spacing w:before="156" w:after="156" w:line="240" w:lineRule="exact"/>
        <w:ind w:left="2415" w:leftChars="1150"/>
        <w:rPr>
          <w:rFonts w:ascii="Calibri" w:hAnsi="Calibri" w:eastAsia="楷体" w:cs="Calibri"/>
        </w:rPr>
      </w:pPr>
      <w:r>
        <w:rPr>
          <w:rFonts w:hint="eastAsia" w:ascii="Calibri" w:hAnsi="Calibri" w:eastAsia="楷体" w:cs="Calibri"/>
        </w:rPr>
        <w:t>西北主产区稳定为主，整体签单顺利；环渤海、淮海地区成交一般，弱势走低；华中地区商谈尚可，暂稳整理；期货震荡上行，华东、华南港口市场走势不一。西北地区暂稳整理，整体签单顺利，部分新单调涨。内地市场仍旧弱势，整体成交一般，受西北低价货源冲击，国内市场弱势下行，但看空情绪略有缓和，后期看跌空间不大。港口方面，期货震荡上行，受月底纸货交割影响，华东区域纸现货商谈重心上移，华南区域弱势运行。</w:t>
      </w:r>
    </w:p>
    <w:p>
      <w:pPr>
        <w:spacing w:before="156" w:after="156" w:line="240" w:lineRule="exact"/>
        <w:ind w:left="2415" w:leftChars="1150"/>
        <w:rPr>
          <w:rFonts w:ascii="Calibri" w:hAnsi="Calibri" w:eastAsia="楷体" w:cs="Calibri"/>
        </w:rPr>
      </w:pPr>
      <w:r>
        <w:rPr>
          <w:rFonts w:hint="eastAsia" w:ascii="Calibri" w:hAnsi="Calibri" w:eastAsia="楷体" w:cs="Calibri"/>
        </w:rPr>
        <w:t>本周甲醇华东港口回落，西北现货价格下降，现货震荡运行，需求难有起色。下游和贸易商观望，偏于谨慎，现货需求较差。但期货价格先抑后扬，主要因为原油价格上涨，化工板块提振。</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甲醇库存持续回升</w:t>
      </w:r>
    </w:p>
    <w:p>
      <w:pPr>
        <w:spacing w:before="156" w:after="156" w:line="240" w:lineRule="exact"/>
        <w:ind w:left="2415" w:leftChars="1150"/>
        <w:rPr>
          <w:rFonts w:ascii="Calibri" w:hAnsi="Calibri" w:eastAsia="楷体" w:cs="Calibri"/>
        </w:rPr>
      </w:pPr>
      <w:r>
        <w:rPr>
          <w:rFonts w:hint="eastAsia" w:ascii="Calibri" w:hAnsi="Calibri" w:eastAsia="楷体" w:cs="Calibri"/>
        </w:rPr>
        <w:t>国内甲醇整体装置开工负荷为69.15%，环比上涨4.14%;西北地区的开工负荷为74.59%，环比上涨4.67%。国内煤(甲醇)制烯烃装置平均开工率在55.97%，较上周略降0.7个百分点。沿海地区(江苏、浙江和华南地区)甲醇库存增长至53.05万吨，整体沿海地区甲醇整体可流通货源预估在14.14万吨附近。从最新的供需数据上看，国内甲醇装置开工继续提升，同时沿海库存也出现了回升。</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MTO开工率降低至56%，需求低迷</w:t>
      </w:r>
    </w:p>
    <w:p>
      <w:pPr>
        <w:spacing w:before="156" w:after="156" w:line="240" w:lineRule="exact"/>
        <w:ind w:left="2415" w:leftChars="1150"/>
        <w:rPr>
          <w:rFonts w:ascii="Calibri" w:hAnsi="Calibri" w:eastAsia="楷体" w:cs="Calibri"/>
        </w:rPr>
      </w:pPr>
      <w:r>
        <w:rPr>
          <w:rFonts w:hint="eastAsia" w:ascii="Calibri" w:hAnsi="Calibri" w:eastAsia="楷体" w:cs="Calibri"/>
        </w:rPr>
        <w:t>目前MTO的利润基本上为0，近期化工品价格齐跌，后期对mto需求更加悲观。新兴需求来看，MTO综合利润欠佳，华东部分MTO装置恢复，据悉浙江兴兴69万吨/年MTO装置已经恢复稳定，宁波富德60万吨/年MTO装置近期或重启。目前MTO占甲醇消费量的一半，受利润下降影响，未来需求偏淡。进一步关注后期mto开工情况，预计9月份之前，mto需求萎缩。</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伊朗核协议无果，原油供应预期收缩</w:t>
      </w:r>
    </w:p>
    <w:p>
      <w:pPr>
        <w:spacing w:before="156" w:after="156" w:line="240" w:lineRule="exact"/>
        <w:ind w:left="2415" w:leftChars="1150"/>
        <w:rPr>
          <w:rFonts w:ascii="Calibri" w:hAnsi="Calibri" w:eastAsia="楷体" w:cs="Calibri"/>
        </w:rPr>
      </w:pPr>
      <w:r>
        <w:rPr>
          <w:rFonts w:hint="eastAsia" w:ascii="Calibri" w:hAnsi="Calibri" w:eastAsia="楷体" w:cs="Calibri"/>
        </w:rPr>
        <w:t>日前，美国国务院宣布，180天的制裁宽限期在11月4日结束后，华盛顿将要求各国停止进口伊朗石油，否则相关国家和企业将面临经济制裁。华盛顿方面同时强调，美国无意给予任何国家豁免权。</w:t>
      </w:r>
    </w:p>
    <w:p>
      <w:pPr>
        <w:spacing w:before="156" w:after="156" w:line="240" w:lineRule="exact"/>
        <w:ind w:left="2415" w:leftChars="1150"/>
        <w:rPr>
          <w:rFonts w:ascii="Calibri" w:hAnsi="Calibri" w:eastAsia="楷体" w:cs="Calibri"/>
        </w:rPr>
      </w:pPr>
      <w:r>
        <w:rPr>
          <w:rFonts w:hint="eastAsia" w:ascii="Calibri" w:hAnsi="Calibri" w:eastAsia="楷体" w:cs="Calibri"/>
        </w:rPr>
        <w:t>自退出伊核协议来，美国曾多次对伊朗施加制裁。5月10日，美国财政部宣布，美方对6名伊朗人和3家实体实施制裁，冻结其在美国境内的资产，并禁止美国公民与其进行交易。5月15日，美国财政部又宣布对包括伊朗央行行长赛义夫在内的4名个人和1家实体实施制裁，称不会允许伊朗“日益滥用国际金融体系的行为”。5月21日，国务卿蓬佩奥称，美国将对伊朗施加“史上最强制裁”，并称伊朗将为“保持经济生存”而挣扎。伊朗宣布重启一座已经关闭九年的核电站，伊朗核子能机构随后确认，该命令是由伊朗最高领袖哈梅内伊发出。针对美国总统特朗普单方面退出伊核协议，并威胁盟友停止进口伊朗石油后，伊朗总统鲁哈尼周三（6月27日）表示会反抗美国制裁，并会“让美国屈服”。鲁哈尼说，“我们会面对问题，我们会承受压力，但我们绝不会牺牲独立自主的权利。”</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环保检查影响甲醇供应，同时抑制下游需求</w:t>
      </w:r>
    </w:p>
    <w:p>
      <w:pPr>
        <w:spacing w:before="156" w:after="156" w:line="240" w:lineRule="exact"/>
        <w:ind w:left="2415" w:leftChars="1150"/>
        <w:rPr>
          <w:rFonts w:ascii="Calibri" w:hAnsi="Calibri" w:eastAsia="楷体" w:cs="Calibri"/>
        </w:rPr>
      </w:pPr>
      <w:r>
        <w:rPr>
          <w:rFonts w:hint="eastAsia" w:ascii="Calibri" w:hAnsi="Calibri" w:eastAsia="楷体" w:cs="Calibri"/>
        </w:rPr>
        <w:t>首批中央环保督察“回头看”已全部完成督察进驻。从 5 月 30 日开始到 6月 7 日，本次“回头看”六路督察组已陆续完成对河北、河南、内蒙古、宁夏、黑龙江、江苏、江西、广东、广西、云南等 10 省区的进驻工作。各督察组在省级层面督察只安排了 5 天时间，其余时间将会进一步下沉督察，现场核实问题是否整改。</w:t>
      </w:r>
    </w:p>
    <w:p>
      <w:pPr>
        <w:spacing w:before="156" w:after="156" w:line="240" w:lineRule="exact"/>
        <w:ind w:left="2415" w:leftChars="1150"/>
        <w:rPr>
          <w:rFonts w:ascii="Calibri" w:hAnsi="Calibri" w:eastAsia="楷体" w:cs="Calibri"/>
        </w:rPr>
      </w:pPr>
      <w:r>
        <w:rPr>
          <w:rFonts w:hint="eastAsia" w:ascii="Calibri" w:hAnsi="Calibri" w:eastAsia="楷体" w:cs="Calibri"/>
        </w:rPr>
        <w:t>由于全国环保检查比较严格，部分甲醇企业停止生产，但需求端同样受到压制。未来环保检查略微偏多。环保检查将推高煤炭价格，因此甲醇价格相应上涨。</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21" w:name="_Toc518221422"/>
      <w:r>
        <w:rPr>
          <w:rFonts w:hint="eastAsia" w:ascii="楷体" w:hAnsi="楷体" w:eastAsia="楷体" w:cs="黑体"/>
          <w:b/>
          <w:color w:val="C00000"/>
          <w:sz w:val="24"/>
          <w:szCs w:val="32"/>
        </w:rPr>
        <w:t>2</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综合分析</w:t>
      </w:r>
      <w:bookmarkEnd w:id="221"/>
    </w:p>
    <w:p>
      <w:pPr>
        <w:spacing w:before="156" w:after="156" w:line="240" w:lineRule="exact"/>
        <w:ind w:left="2415" w:leftChars="1150"/>
        <w:rPr>
          <w:rFonts w:ascii="Calibri" w:hAnsi="Calibri" w:eastAsia="楷体" w:cs="Calibri"/>
        </w:rPr>
      </w:pPr>
      <w:r>
        <w:rPr>
          <w:rFonts w:hint="eastAsia" w:ascii="Calibri" w:hAnsi="Calibri" w:eastAsia="楷体" w:cs="Calibri"/>
        </w:rPr>
        <w:t>由于甲醇装置重启启动，需求萎缩，甲醇难以走出趋势行情。目前甲醇供求矛盾并不突出，淡季消费疲软。预计mto装置检修较多，需求减弱。南方进去雨季，传统需求也减弱。关注煤炭价格变化。</w:t>
      </w:r>
    </w:p>
    <w:p>
      <w:pPr>
        <w:spacing w:before="156" w:after="156" w:line="240" w:lineRule="exact"/>
        <w:ind w:left="2415" w:leftChars="1150"/>
        <w:rPr>
          <w:rFonts w:ascii="Calibri" w:hAnsi="Calibri" w:eastAsia="楷体" w:cs="Calibri"/>
        </w:rPr>
      </w:pPr>
      <w:r>
        <w:rPr>
          <w:rFonts w:hint="eastAsia" w:ascii="Calibri" w:hAnsi="Calibri" w:eastAsia="楷体" w:cs="Calibri"/>
        </w:rPr>
        <w:t>供应端随着甲醇开工率上升，库存开始增加。而原油未来延续强势，同时煤炭板块因环保因素持续上涨，未来生产成本上涨，拉动甲醇价格上涨。</w:t>
      </w:r>
    </w:p>
    <w:p>
      <w:pPr>
        <w:spacing w:before="156" w:after="156" w:line="240" w:lineRule="exact"/>
        <w:ind w:left="2415" w:leftChars="1150"/>
        <w:rPr>
          <w:rFonts w:ascii="Calibri" w:hAnsi="Calibri" w:eastAsia="楷体" w:cs="Calibri"/>
        </w:rPr>
      </w:pPr>
      <w:r>
        <w:rPr>
          <w:rFonts w:hint="eastAsia" w:ascii="Calibri" w:hAnsi="Calibri" w:eastAsia="楷体" w:cs="Calibri"/>
        </w:rPr>
        <w:t>总体上，甲醇多空交织，无明显的趋势线机会，短期受成本支撑处于强势，仍处于震荡区间。操作上，甲醇1901维持（2700,3000） 区间看法，后期反弹沽空操作，整体维持区间震荡走势。 9月份之后或有上涨机会，仍需等待。</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22" w:name="_Toc513901752"/>
      <w:bookmarkStart w:id="223" w:name="_Toc486783207"/>
      <w:bookmarkStart w:id="224" w:name="_Toc511513011"/>
      <w:bookmarkStart w:id="225" w:name="_Toc511581217"/>
      <w:bookmarkStart w:id="226" w:name="_Toc513394787"/>
      <w:bookmarkStart w:id="227" w:name="_Toc518221423"/>
      <w:bookmarkStart w:id="228" w:name="_Toc511512899"/>
      <w:r>
        <w:rPr>
          <w:rFonts w:ascii="楷体" w:hAnsi="楷体" w:eastAsia="楷体" w:cs="黑体"/>
          <w:b/>
          <w:color w:val="C00000"/>
          <w:sz w:val="24"/>
          <w:szCs w:val="32"/>
        </w:rPr>
        <w:t>3 甲醇主要数据</w:t>
      </w:r>
      <w:bookmarkEnd w:id="222"/>
      <w:bookmarkEnd w:id="223"/>
      <w:bookmarkEnd w:id="224"/>
      <w:bookmarkEnd w:id="225"/>
      <w:bookmarkEnd w:id="226"/>
      <w:bookmarkEnd w:id="227"/>
      <w:bookmarkEnd w:id="228"/>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29" w:name="_Toc513836729"/>
                  <w:bookmarkStart w:id="230" w:name="_Toc51383665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45</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甲醇收盘价</w:t>
                  </w:r>
                  <w:bookmarkEnd w:id="229"/>
                  <w:bookmarkEnd w:id="230"/>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31" w:name="_Toc513836730"/>
                  <w:bookmarkStart w:id="232" w:name="_Toc51383665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46</w:t>
                  </w:r>
                  <w:r>
                    <w:rPr>
                      <w:rFonts w:ascii="楷体" w:hAnsi="楷体" w:eastAsia="楷体"/>
                      <w:i/>
                      <w:color w:val="002060"/>
                    </w:rPr>
                    <w:fldChar w:fldCharType="end"/>
                  </w:r>
                  <w:r>
                    <w:rPr>
                      <w:rFonts w:hint="eastAsia" w:ascii="楷体" w:hAnsi="楷体" w:eastAsia="楷体"/>
                      <w:i/>
                      <w:color w:val="002060"/>
                    </w:rPr>
                    <w:t>：甲醇出厂价</w:t>
                  </w:r>
                  <w:bookmarkEnd w:id="231"/>
                  <w:bookmarkEnd w:id="23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6" o:spid="_x0000_s1071" type="#_x0000_t75" style="height:170.1pt;width:226.75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7" o:spid="_x0000_s1072" type="#_x0000_t75" style="height:170.1pt;width:226.75pt;rotation:0f;" o:ole="f" fillcolor="#FFFFFF" filled="f" o:preferrelative="t" stroked="f" coordorigin="0,0" coordsize="21600,21600">
                        <v:fill on="f" color2="#FFFFFF" focus="0%"/>
                        <v:imagedata gain="65536f" blacklevel="0f" gamma="0" o:title="" r:id="rId57"/>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33" w:name="_Toc513836660"/>
                  <w:bookmarkStart w:id="234" w:name="_Toc51383673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甲醇产量</w:t>
                  </w:r>
                  <w:bookmarkEnd w:id="233"/>
                  <w:bookmarkEnd w:id="234"/>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35" w:name="_Toc513836661"/>
                  <w:bookmarkStart w:id="236" w:name="_Toc51383673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48</w:t>
                  </w:r>
                  <w:r>
                    <w:rPr>
                      <w:rFonts w:ascii="楷体" w:hAnsi="楷体" w:eastAsia="楷体"/>
                      <w:i/>
                      <w:color w:val="002060"/>
                    </w:rPr>
                    <w:fldChar w:fldCharType="end"/>
                  </w:r>
                  <w:r>
                    <w:rPr>
                      <w:rFonts w:hint="eastAsia" w:ascii="楷体" w:hAnsi="楷体" w:eastAsia="楷体"/>
                      <w:i/>
                      <w:color w:val="002060"/>
                    </w:rPr>
                    <w:t>：甲醇进口量</w:t>
                  </w:r>
                  <w:bookmarkEnd w:id="235"/>
                  <w:bookmarkEnd w:id="23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8" o:spid="_x0000_s1073" type="#_x0000_t75" style="height:170.1pt;width:226.75pt;rotation:0f;" o:ole="f" fillcolor="#FFFFFF" filled="f" o:preferrelative="t" stroked="f" coordorigin="0,0" coordsize="21600,21600">
                        <v:fill on="f" color2="#FFFFFF" focus="0%"/>
                        <v:imagedata gain="65536f" blacklevel="0f" gamma="0" o:title="" r:id="rId58"/>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39" o:spid="_x0000_s1074" type="#_x0000_t75" style="height:170.1pt;width:226.75pt;rotation:0f;" o:ole="f" fillcolor="#FFFFFF" filled="f" o:preferrelative="t" stroked="f" coordorigin="0,0" coordsize="21600,21600">
                        <v:fill on="f" color2="#FFFFFF" focus="0%"/>
                        <v:imagedata gain="65536f" blacklevel="0f" gamma="0" o:title="" r:id="rId59"/>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37" w:name="_Toc513836733"/>
                  <w:bookmarkStart w:id="238" w:name="_Toc51383666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甲醇库存</w:t>
                  </w:r>
                  <w:bookmarkEnd w:id="237"/>
                  <w:bookmarkEnd w:id="238"/>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39" w:name="_Toc513836663"/>
                  <w:bookmarkStart w:id="240" w:name="_Toc51383673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50</w:t>
                  </w:r>
                  <w:r>
                    <w:rPr>
                      <w:rFonts w:ascii="楷体" w:hAnsi="楷体" w:eastAsia="楷体"/>
                      <w:i/>
                      <w:color w:val="002060"/>
                    </w:rPr>
                    <w:fldChar w:fldCharType="end"/>
                  </w:r>
                  <w:r>
                    <w:rPr>
                      <w:rFonts w:hint="eastAsia" w:ascii="楷体" w:hAnsi="楷体" w:eastAsia="楷体"/>
                      <w:i/>
                      <w:color w:val="002060"/>
                    </w:rPr>
                    <w:t>：丙烯现货价格</w:t>
                  </w:r>
                  <w:bookmarkEnd w:id="239"/>
                  <w:bookmarkEnd w:id="24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0" o:spid="_x0000_s1075" type="#_x0000_t75" style="height:170.1pt;width:226.75pt;rotation:0f;" o:ole="f" fillcolor="#FFFFFF" filled="f" o:preferrelative="t" stroked="f" coordorigin="0,0" coordsize="21600,21600">
                        <v:fill on="f" color2="#FFFFFF" focus="0%"/>
                        <v:imagedata gain="65536f" blacklevel="0f" gamma="0" o:title="" r:id="rId60"/>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1" o:spid="_x0000_s1076" type="#_x0000_t75" style="height:170.1pt;width:226.75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156" w:after="156" w:line="240" w:lineRule="exact"/>
        <w:ind w:left="2415" w:leftChars="1150"/>
        <w:rPr>
          <w:rFonts w:ascii="宋体" w:hAnsi="宋体" w:eastAsia="宋体"/>
          <w:sz w:val="20"/>
        </w:rPr>
      </w:pPr>
      <w:r>
        <w:rPr>
          <w:rFonts w:ascii="宋体" w:hAnsi="宋体" w:eastAsia="宋体"/>
          <w:sz w:val="20"/>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241" w:name="_Toc518221424"/>
      <w:bookmarkStart w:id="242" w:name="_Toc511512902"/>
      <w:bookmarkStart w:id="243" w:name="_Toc511513014"/>
      <w:bookmarkStart w:id="244" w:name="_Toc511581220"/>
      <w:bookmarkStart w:id="245" w:name="_Toc513394790"/>
      <w:bookmarkStart w:id="246" w:name="_Toc513901753"/>
      <w:r>
        <w:rPr>
          <w:rFonts w:ascii="楷体" w:hAnsi="楷体" w:eastAsia="楷体" w:cs="黑体"/>
          <w:b/>
          <w:color w:val="C00000"/>
          <w:sz w:val="28"/>
          <w:szCs w:val="32"/>
        </w:rPr>
        <w:t>天然橡胶</w:t>
      </w:r>
      <w:bookmarkEnd w:id="241"/>
      <w:bookmarkEnd w:id="242"/>
      <w:bookmarkEnd w:id="243"/>
      <w:bookmarkEnd w:id="244"/>
      <w:bookmarkEnd w:id="245"/>
      <w:bookmarkEnd w:id="246"/>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47" w:name="_Toc518221425"/>
      <w:bookmarkStart w:id="248" w:name="_Toc511512903"/>
      <w:bookmarkStart w:id="249" w:name="_Toc511513015"/>
      <w:bookmarkStart w:id="250" w:name="_Toc511581221"/>
      <w:bookmarkStart w:id="251" w:name="_Toc513901754"/>
      <w:bookmarkStart w:id="252" w:name="_Toc513394791"/>
      <w:r>
        <w:rPr>
          <w:rFonts w:ascii="楷体" w:hAnsi="楷体" w:eastAsia="楷体" w:cs="黑体"/>
          <w:b/>
          <w:color w:val="C00000"/>
          <w:sz w:val="24"/>
          <w:szCs w:val="32"/>
        </w:rPr>
        <w:t>1 行情回顾</w:t>
      </w:r>
      <w:bookmarkEnd w:id="247"/>
      <w:bookmarkEnd w:id="248"/>
      <w:bookmarkEnd w:id="249"/>
      <w:bookmarkEnd w:id="250"/>
      <w:bookmarkEnd w:id="251"/>
      <w:bookmarkEnd w:id="252"/>
    </w:p>
    <w:p>
      <w:pPr>
        <w:spacing w:before="156" w:after="156" w:line="240" w:lineRule="exact"/>
        <w:ind w:left="2415" w:leftChars="1150"/>
        <w:rPr>
          <w:rFonts w:ascii="Calibri" w:hAnsi="Calibri" w:eastAsia="楷体" w:cs="Calibri"/>
        </w:rPr>
      </w:pPr>
      <w:r>
        <w:rPr>
          <w:rFonts w:hint="eastAsia" w:ascii="Calibri" w:hAnsi="Calibri" w:eastAsia="楷体" w:cs="Calibri"/>
        </w:rPr>
        <w:t>沪胶主力1809合约本周震荡筑底企稳，收盘于10575元/吨。泰国产区顺利进入割胶季，橡胶工厂压低原料收购价格，关注胶水—杯胶价差收窄释放的探底信号。随着二季度泰国对华天然橡胶出口量反弹，青岛保税区去库存向补库存的拐点已经出现。受上合峰会和工厂限电的影响，6月轮胎企业开工呈前高后低态势。20号胶计划上市的消息对沪胶情绪造成冲击，将彻底改变国内天然橡胶市场交易规则。短期不排除跌无可跌令做空动能衰竭，资金推动盘面阶段性反弹，但未来橡胶整体熊市行情难改。</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53" w:name="_Toc511513016"/>
      <w:bookmarkStart w:id="254" w:name="_Toc511581222"/>
      <w:bookmarkStart w:id="255" w:name="_Toc513394792"/>
      <w:bookmarkStart w:id="256" w:name="_Toc513901755"/>
      <w:bookmarkStart w:id="257" w:name="_Toc518221426"/>
      <w:bookmarkStart w:id="258" w:name="_Toc511512904"/>
      <w:r>
        <w:rPr>
          <w:rFonts w:ascii="楷体" w:hAnsi="楷体" w:eastAsia="楷体" w:cs="黑体"/>
          <w:b/>
          <w:color w:val="C00000"/>
          <w:sz w:val="24"/>
          <w:szCs w:val="32"/>
        </w:rPr>
        <w:t>2 基本分析</w:t>
      </w:r>
      <w:bookmarkEnd w:id="253"/>
      <w:bookmarkEnd w:id="254"/>
      <w:bookmarkEnd w:id="255"/>
      <w:bookmarkEnd w:id="256"/>
      <w:bookmarkEnd w:id="257"/>
      <w:bookmarkEnd w:id="258"/>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供给侧</w:t>
      </w:r>
    </w:p>
    <w:p>
      <w:pPr>
        <w:spacing w:before="156" w:after="156" w:line="240" w:lineRule="exact"/>
        <w:ind w:left="2415" w:leftChars="1150"/>
        <w:rPr>
          <w:rFonts w:ascii="Calibri" w:hAnsi="Calibri" w:eastAsia="楷体" w:cs="Calibri"/>
        </w:rPr>
      </w:pPr>
      <w:r>
        <w:rPr>
          <w:rFonts w:hint="eastAsia" w:ascii="Calibri" w:hAnsi="Calibri" w:eastAsia="楷体" w:cs="Calibri"/>
        </w:rPr>
        <w:t>自从宋干节后进入新一年的割胶季以来，泰国主产区物候条件良好，胶水、杯胶、胶片等原料产量稳定增长。4月泰国天然橡胶产量为29.3万吨，同比大幅增长38.7%；5月降雨较多导致割胶天数偏少，预计胶水产量同比增幅在1%—3%左右。6月泰国原料价格开始松动下跌，胶水价格从月初的50泰铢/公斤降至44.5泰铢/公斤，跌幅达到11%；同期杯胶价格却只下跌了0.5泰铢/公斤，跌幅仅为1.32%。降水量增加是胶水—杯胶价差出现明显收窄的主要原因。胶水和杯胶同属于割胶作业产出的原料，杯胶是胶水自然凝固在割胶杯上形成的，因其杂质含量较高价格通常低于胶水。5月的降雨影响杯胶产量增长，并造成胶水干含量降低，故杯胶价格相对胶水表现更为抗跌。此外，目前泰国橡胶加工厂普遍压低胶水收购价格，待胶水恢复高产后以低廉的价格大量采购。</w:t>
      </w:r>
    </w:p>
    <w:p>
      <w:pPr>
        <w:spacing w:before="156" w:after="156" w:line="240" w:lineRule="exact"/>
        <w:ind w:left="2415" w:leftChars="1150"/>
        <w:rPr>
          <w:rFonts w:ascii="Calibri" w:hAnsi="Calibri" w:eastAsia="楷体" w:cs="Calibri"/>
        </w:rPr>
      </w:pPr>
      <w:r>
        <w:rPr>
          <w:rFonts w:hint="eastAsia" w:ascii="Calibri" w:hAnsi="Calibri" w:eastAsia="楷体" w:cs="Calibri"/>
        </w:rPr>
        <w:t>6月是天然橡胶产量季节性增长的过渡阶段，自2011年橡胶大熊市开启以来，6月橡胶价格多表现为弱势震荡筑底。从近年历史走势上看，原料价格的波动呈现出周期性规律，对判断橡胶底部具有一定指导意义。胶水与杯胶价格互为天花板和地板，正常情况是胶水升水杯胶，对比胶水—杯胶价差与橡胶价格不难发现，当二者出现平水甚至贴水时，往往预示着行情拐点的到来。在价格上涨的过程中，如果胶水—杯胶价差缩窄，此时易形成阶段性顶部；在价格下跌的过程中，若胶水—杯胶价差缩窄，则胶价大概率触底回升。基本面对此的解释为，杯胶超涨溢价时的供应过度放量，以及胶水超跌折价时的供应主动收缩。目前橡胶整体深陷熊市泥潭，同时胶水—杯胶价差进入收窄初期，按照上述规律，可认为探底形态初现，后期下跌空间有限。如果7—9月二者达到平水甚至贴水，或将向市场释放强烈的价格触底信号。</w:t>
      </w:r>
    </w:p>
    <w:p>
      <w:pPr>
        <w:spacing w:before="156" w:after="156" w:line="240" w:lineRule="exact"/>
        <w:ind w:left="2415" w:leftChars="1150"/>
        <w:rPr>
          <w:rFonts w:ascii="Calibri" w:hAnsi="Calibri" w:eastAsia="楷体" w:cs="Calibri"/>
        </w:rPr>
      </w:pPr>
      <w:r>
        <w:rPr>
          <w:rFonts w:hint="eastAsia" w:ascii="Calibri" w:hAnsi="Calibri" w:eastAsia="楷体" w:cs="Calibri"/>
        </w:rPr>
        <w:t>今年东南亚主产区大部分橡胶树长势良好，开割以来割胶工作进展顺利，然而天然橡胶产量却不及理论上充裕。主要原因是，短期降雨过多影响割胶进度；原料收购价格明显低于去年，胶农割胶积极性不高。进入6月以来，泰国合艾原料市场胶水报价出现连续大幅走跌。正常情况下，6—8月全球天然橡胶将迎来年内第一个供应高峰期，市场对后期产量增加的预期升温，因而原料价格一再下跌。应该注意的是，6—9月泰国处于雨季，是台风和洪涝灾害的高发期，在橡胶产量增长的同时，天气对原料稳定产出的影响非常大。降水量减少后供应将恢复，总体供过于求的情况下，低廉的原料价格降低生产成本，刺激橡胶加工厂采购需求增加。进一步，在原料供应放量后，价格反而有可能出现上涨。</w:t>
      </w:r>
    </w:p>
    <w:p>
      <w:pPr>
        <w:spacing w:before="156" w:after="156" w:line="240" w:lineRule="exact"/>
        <w:ind w:left="2415" w:leftChars="1150"/>
        <w:rPr>
          <w:rFonts w:ascii="Calibri" w:hAnsi="Calibri" w:eastAsia="楷体" w:cs="Calibri"/>
        </w:rPr>
      </w:pPr>
      <w:r>
        <w:rPr>
          <w:rFonts w:hint="eastAsia" w:ascii="Calibri" w:hAnsi="Calibri" w:eastAsia="楷体" w:cs="Calibri"/>
        </w:rPr>
        <w:t>在全球橡胶熊市的大背景下，越南橡胶生产加工行业却高速发展，橡胶及橡胶制品销往世界128个国家和地区。越南橡胶协会统计数据显示，2017年越南橡胶种植面积为97.16万公顷，产量达108万吨，占全球市场份额的8.3%，天然橡胶创汇22.5亿美元。越南天然橡胶主要出口至中国、印度和马来西亚，市场份额分别为58.1%、7.5%和4.6%。今年越南大部分橡胶品种出口量和出口额均同比有所增长。5月越南橡胶出口量和出口额分别为9.3万吨和1.33亿美元；1—5月越南橡胶出口总量达42.4万吨，同比增长17.4%；出口额共计6.2亿美元，同比下降12.4%；1—4月，越南天然橡胶平均出口价格为1469美元/吨，同比下降27.1%。在橡胶供应端，越南正逐渐取代马来西亚成为世界第三大产胶国。</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需求端</w:t>
      </w:r>
    </w:p>
    <w:p>
      <w:pPr>
        <w:spacing w:before="156" w:after="156" w:line="240" w:lineRule="exact"/>
        <w:ind w:left="2415" w:leftChars="1150"/>
        <w:rPr>
          <w:rFonts w:ascii="Calibri" w:hAnsi="Calibri" w:eastAsia="楷体" w:cs="Calibri"/>
        </w:rPr>
      </w:pPr>
      <w:r>
        <w:rPr>
          <w:rFonts w:hint="eastAsia" w:ascii="Calibri" w:hAnsi="Calibri" w:eastAsia="楷体" w:cs="Calibri"/>
        </w:rPr>
        <w:t>国际橡胶研究组织IRSG公布的数据显示，全球橡胶消费量呈持续稳定增长态势。2017年，全球橡胶消费量达到2827.7万吨，同比增长3.0%。中国橡胶消费量高达943.2万吨，同比增长2.9%，连续3年居于全球首位，发达的轮胎制造业是拉动消费增长的主要原因。美国橡胶消费量284.3万吨位居第二，与上年基本持平，随着美国经济强势复苏，对橡胶的需求逐步回升。印度橡胶消费量167.9万吨，同比增长3.5%，作为新兴市场国家的代表，印度汽车行业迅速扩张，但基数尚小影响有限。泰国、马来西亚等传统产胶国推行产业升级，发展下游橡胶制品工业，近年来内需有所扩大。表观数据来看，全球橡胶消费情况并没有想象中的那么差，然而相比ANRPC4.5%的供应增速，需求跟进明显不足。</w:t>
      </w:r>
    </w:p>
    <w:p>
      <w:pPr>
        <w:spacing w:before="156" w:after="156" w:line="240" w:lineRule="exact"/>
        <w:ind w:left="2415" w:leftChars="1150"/>
        <w:rPr>
          <w:rFonts w:ascii="Calibri" w:hAnsi="Calibri" w:eastAsia="楷体" w:cs="Calibri"/>
        </w:rPr>
      </w:pPr>
      <w:r>
        <w:rPr>
          <w:rFonts w:hint="eastAsia" w:ascii="Calibri" w:hAnsi="Calibri" w:eastAsia="楷体" w:cs="Calibri"/>
        </w:rPr>
        <w:t>国内轮胎企业开工统计数据出现大幅回升，截至6月22日，全钢胎平均开工率78.59%，半钢胎平均开工率71.24%，推测为样本内部分轮胎厂结束检修复工所致。6月国内轮胎工厂生产高峰期难以维系，主要原因有四：青岛上合组织峰会召开，环保政策打压周边地区轮胎厂开工；部分电厂将开启常规检修，对工厂用电多有限制，造成短期减产甚至停产；随着天气逐渐炎热，生产车间温度过高，工人抵触情绪加重排班减少；欧盟对华卡客车轮胎实施反倾销政策，导致出口萎缩间接影响产量。</w:t>
      </w:r>
    </w:p>
    <w:p>
      <w:pPr>
        <w:spacing w:before="156" w:after="156" w:line="240" w:lineRule="exact"/>
        <w:ind w:left="2415" w:leftChars="1150"/>
        <w:rPr>
          <w:rFonts w:ascii="Calibri" w:hAnsi="Calibri" w:eastAsia="楷体" w:cs="Calibri"/>
        </w:rPr>
      </w:pPr>
      <w:r>
        <w:rPr>
          <w:rFonts w:hint="eastAsia" w:ascii="Calibri" w:hAnsi="Calibri" w:eastAsia="楷体" w:cs="Calibri"/>
        </w:rPr>
        <w:t>山东省是中国最重要的轮胎产地，2017年子午胎产量达3.27亿条，占全国总产量的一半以上；其中东营又为重中之重，轮胎产量占全省的50%左右。根据对东营地区轮胎行业的调查，2018年轮胎出口略好于内销，整体市场表现欠佳；企业普遍认为今年销售情况不及去年同期，但好于年初过度悲观的预期。厂商对后市原料价格看空，多以按需采购为主，原料库存维持在10—15天左右。6—7月是国内替换胎传统淡季，终端消费能力受限；这一状况将持续到8月，高温天气导致轮胎耗损加快，市场有望恢复改善。随着国内天然橡胶库存全面回升，东南亚产胶国供应放量，市场价格将承压下行。目前橡胶处于历史性底部，如果跌破万元会刺激下游增加备货，因而未来胶价进一步下跌的空间有限。</w:t>
      </w:r>
    </w:p>
    <w:p>
      <w:pPr>
        <w:spacing w:before="156" w:after="156" w:line="240" w:lineRule="exact"/>
        <w:ind w:left="2415" w:leftChars="1150"/>
        <w:rPr>
          <w:rFonts w:ascii="Calibri" w:hAnsi="Calibri" w:eastAsia="楷体" w:cs="Calibri"/>
        </w:rPr>
      </w:pPr>
      <w:r>
        <w:rPr>
          <w:rFonts w:hint="eastAsia" w:ascii="Calibri" w:hAnsi="Calibri" w:eastAsia="楷体" w:cs="Calibri"/>
        </w:rPr>
        <w:t>卓创监测数据显示，4月中国半钢轮胎总需求量约为1000万条，环比下滑9.04%。一定程度上，乘用车市场的低迷影响半钢胎产销量。5月中国乘用车销量为188.94万辆，虽然同比增加7.89%，但较上月下降1.30%，环比出现连续下滑。2018年乘用车销量增速整体呈放缓态势，1—5月乘用车总计销售990.08万辆，比去年同期增长5.09%。乘用车市场走弱的主要原因：今年取消小排量购置税优惠政策，乘用车销量环比大幅走低；进入乘用车传统销售淡季，市场终端需求清淡；财政部宣布，7月1日起降低进口乘用车关税，使得国内大部分经销商指导价下调，消费者预期国产车价格将跟降，产生持币观望的心理。后市预计乘用车产销量环比将进一步下滑，7月配套胎市场表现或难以为橡胶提供有力支撑。</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期现库存</w:t>
      </w:r>
    </w:p>
    <w:p>
      <w:pPr>
        <w:spacing w:before="156" w:after="156" w:line="240" w:lineRule="exact"/>
        <w:ind w:left="2415" w:leftChars="1150"/>
        <w:rPr>
          <w:rFonts w:ascii="Calibri" w:hAnsi="Calibri" w:eastAsia="楷体" w:cs="Calibri"/>
        </w:rPr>
      </w:pPr>
      <w:r>
        <w:rPr>
          <w:rFonts w:hint="eastAsia" w:ascii="Calibri" w:hAnsi="Calibri" w:eastAsia="楷体" w:cs="Calibri"/>
        </w:rPr>
        <w:t>东南亚主产区产量不断恢复，随着进口货源陆续到港，青岛保税区从去库存向累库存的拐点或已出现。截至6月15日，青岛保税区橡胶总库存回升到18.2万吨，其中天然橡胶库存增至6.98万吨。在需求没有明显好转的情况下，库存将继续对橡胶价格施压。目前上期所天然橡胶库存为48.5万吨，逼近51万吨的历史最高纪录；注册仓单高达45.76万吨，位于历史最高水平。</w:t>
      </w:r>
    </w:p>
    <w:p>
      <w:pPr>
        <w:spacing w:before="156" w:after="156" w:line="240" w:lineRule="exact"/>
        <w:ind w:left="2415" w:leftChars="1150"/>
        <w:rPr>
          <w:rFonts w:ascii="Calibri" w:hAnsi="Calibri" w:eastAsia="楷体" w:cs="Calibri"/>
        </w:rPr>
      </w:pPr>
      <w:r>
        <w:rPr>
          <w:rFonts w:hint="eastAsia" w:ascii="Calibri" w:hAnsi="Calibri" w:eastAsia="楷体" w:cs="Calibri"/>
        </w:rPr>
        <w:t>沪胶存在交割标的和流通标的不匹配的问题，橡胶制品企业对全乳胶的实际需求并不高，直接从盘面接货意愿较低。从2014—2017年的交割量来看，以现货企业进行跨期或期现套利活动为主，真正在生产环节中被消耗掉的仅占少数。大部分的仓单需要不断向后展期，直到11月强制注销转为现货。下游需求整体疲弱的情况下，只能通过远月合约扩大升水来承接现在的仓单压力，形成以01合约高升水开始，09合约贴水结束的升贴水结构。</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进出口</w:t>
      </w:r>
    </w:p>
    <w:p>
      <w:pPr>
        <w:spacing w:before="156" w:after="156" w:line="240" w:lineRule="exact"/>
        <w:ind w:left="2415" w:leftChars="1150"/>
        <w:rPr>
          <w:rFonts w:ascii="Calibri" w:hAnsi="Calibri" w:eastAsia="楷体" w:cs="Calibri"/>
        </w:rPr>
      </w:pPr>
      <w:r>
        <w:rPr>
          <w:rFonts w:hint="eastAsia" w:ascii="Calibri" w:hAnsi="Calibri" w:eastAsia="楷体" w:cs="Calibri"/>
        </w:rPr>
        <w:t>泰国海关公布的数据显示，5月泰国天然橡胶（含胶乳及混合胶）出口总量为42.51万吨，同比大幅增加22.16%，环比下降15.69%。具体胶种来看，其中20#标胶出口量为13.03万吨，混合胶12.95万吨，乳胶8.76万吨，3#烟片胶4.31万吨。据悉，目前泰国三等胶片报价为43.56泰铢/公斤，乳胶报价41.46泰铢/公斤，胶块报价20.28泰铢/公斤，整体价格比去年同期平均降低了38.61%。泰国农业部门表示，2018下半年的工作重心将转移到提高橡胶价格上，努力推动胶价回归正常水平。泰方认为，胶价走低很大原因是去年中国储备了大量库存，相应地今年进口量减少；另外汇率波动也导致橡胶出口下滑。这一表态显然没有正视现象本质，天然橡胶市场承受的产能过剩正是产胶国自身在2010—2011年度大量种植橡胶树的后果。</w:t>
      </w:r>
    </w:p>
    <w:p>
      <w:pPr>
        <w:spacing w:before="156" w:after="156" w:line="240" w:lineRule="exact"/>
        <w:ind w:left="2415" w:leftChars="1150"/>
        <w:rPr>
          <w:rFonts w:ascii="Calibri" w:hAnsi="Calibri" w:eastAsia="楷体" w:cs="Calibri"/>
        </w:rPr>
      </w:pPr>
      <w:r>
        <w:rPr>
          <w:rFonts w:hint="eastAsia" w:ascii="Calibri" w:hAnsi="Calibri" w:eastAsia="楷体" w:cs="Calibri"/>
        </w:rPr>
        <w:t>5月中国天然橡胶进口数量激增，主要原因是泰国船货到港，以及前期期现价差反弹带来的非标套利空间。中国海关统计数据显示，5月中国进口天然及合成橡胶（含胶乳）共计64.9万吨，同比增长18%，环比增幅达51.6%，创三个月以来进口最高水平；1—5月橡胶累计进口量为273万吨，同比下滑5.8%。</w:t>
      </w:r>
    </w:p>
    <w:p>
      <w:pPr>
        <w:spacing w:before="156" w:after="156" w:line="240" w:lineRule="exact"/>
        <w:ind w:left="2415" w:leftChars="1150"/>
        <w:rPr>
          <w:rFonts w:ascii="Calibri" w:hAnsi="Calibri" w:eastAsia="楷体" w:cs="Calibri"/>
        </w:rPr>
      </w:pPr>
      <w:r>
        <w:rPr>
          <w:rFonts w:hint="eastAsia" w:ascii="Calibri" w:hAnsi="Calibri" w:eastAsia="楷体" w:cs="Calibri"/>
        </w:rPr>
        <w:t>美国是中国轮胎最重要的市场之一，一季度出口到美国的卡客车轮胎总量为169410吨，同比大幅增长31.20%，这归功于2017年中国卡客车轮胎双反案赢得胜利的结果，然而中美贸易战的威胁又给前途蒙上一层阴影。欧洲方面，欧盟委员会宣布对中国卡客车轮胎的反倾销调查初裁结果，对中国轮胎出口产生新的负面影响。一季度出口到欧洲的轮胎总量为83680吨，同比下滑3%。一带一路政策的提出为中国轮胎出口带来一些增长方向，一季度出口到一带一路相关国家的轮胎总量为258010吨，同比增长4.5%，但市场体量较为有限。综上，美国市场能否持续反弹存疑，欧洲面临贸易摩擦升级，一带一路受增长潜力制约，中国卡客车轮胎出口形势不容乐观。</w:t>
      </w: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59" w:name="_Toc513836735"/>
                  <w:bookmarkStart w:id="260" w:name="_Toc51383666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天然橡胶现货价格</w:t>
                  </w:r>
                  <w:bookmarkEnd w:id="259"/>
                  <w:bookmarkEnd w:id="260"/>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61" w:name="_Toc513836665"/>
                  <w:bookmarkStart w:id="262" w:name="_Toc51383673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52</w:t>
                  </w:r>
                  <w:r>
                    <w:rPr>
                      <w:rFonts w:ascii="楷体" w:hAnsi="楷体" w:eastAsia="楷体"/>
                      <w:i/>
                      <w:color w:val="002060"/>
                    </w:rPr>
                    <w:fldChar w:fldCharType="end"/>
                  </w:r>
                  <w:r>
                    <w:rPr>
                      <w:rFonts w:hint="eastAsia" w:ascii="楷体" w:hAnsi="楷体" w:eastAsia="楷体"/>
                      <w:i/>
                      <w:color w:val="002060"/>
                    </w:rPr>
                    <w:t>：合成橡胶价格</w:t>
                  </w:r>
                  <w:bookmarkEnd w:id="261"/>
                  <w:bookmarkEnd w:id="2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2" o:spid="_x0000_s1077" type="#_x0000_t75" style="height:170.1pt;width:226.75pt;rotation:0f;" o:ole="f" fillcolor="#FFFFFF" filled="f" o:preferrelative="t" stroked="f" coordorigin="0,0" coordsize="21600,21600">
                        <v:fill on="f" color2="#FFFFFF" focus="0%"/>
                        <v:imagedata gain="65536f" blacklevel="0f" gamma="0" o:title="" r:id="rId61"/>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3" o:spid="_x0000_s1078" type="#_x0000_t75" style="height:170.1pt;width:226.75pt;rotation:0f;" o:ole="f" fillcolor="#FFFFFF" filled="f" o:preferrelative="t" stroked="f" coordorigin="0,0" coordsize="21600,21600">
                        <v:fill on="f" color2="#FFFFFF" focus="0%"/>
                        <v:imagedata gain="65536f" blacklevel="0f" gamma="0" o:title="" r:id="rId62"/>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63" w:name="_Toc513836737"/>
                  <w:bookmarkStart w:id="264" w:name="_Toc51383666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ANRPC产量出口</w:t>
                  </w:r>
                  <w:bookmarkEnd w:id="263"/>
                  <w:bookmarkEnd w:id="264"/>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65" w:name="_Toc513836667"/>
                  <w:bookmarkStart w:id="266" w:name="_Toc51383673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54</w:t>
                  </w:r>
                  <w:r>
                    <w:rPr>
                      <w:rFonts w:ascii="楷体" w:hAnsi="楷体" w:eastAsia="楷体"/>
                      <w:i/>
                      <w:color w:val="002060"/>
                    </w:rPr>
                    <w:fldChar w:fldCharType="end"/>
                  </w:r>
                  <w:r>
                    <w:rPr>
                      <w:rFonts w:hint="eastAsia" w:ascii="楷体" w:hAnsi="楷体" w:eastAsia="楷体"/>
                      <w:i/>
                      <w:color w:val="002060"/>
                    </w:rPr>
                    <w:t>：橡胶进口量</w:t>
                  </w:r>
                  <w:bookmarkEnd w:id="265"/>
                  <w:bookmarkEnd w:id="2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4" o:spid="_x0000_s1079" type="#_x0000_t75" style="height:170.1pt;width:226.75pt;rotation:0f;" o:ole="f" fillcolor="#FFFFFF" filled="f" o:preferrelative="t" stroked="f" coordorigin="0,0" coordsize="21600,21600">
                        <v:fill on="f" color2="#FFFFFF" focus="0%"/>
                        <v:imagedata gain="65536f" blacklevel="0f" gamma="0" o:title="" r:id="rId63"/>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5" o:spid="_x0000_s1080" type="#_x0000_t75" style="height:170.1pt;width:226.75pt;rotation:0f;" o:ole="f" fillcolor="#FFFFFF" filled="f" o:preferrelative="t" stroked="f" coordorigin="0,0" coordsize="21600,21600">
                        <v:fill on="f" color2="#FFFFFF" focus="0%"/>
                        <v:imagedata gain="65536f" blacklevel="0f" gamma="0" o:title="" r:id="rId64"/>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67" w:name="_Toc513836668"/>
                  <w:bookmarkStart w:id="268" w:name="_Toc51383673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55</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青岛保税区库存</w:t>
                  </w:r>
                  <w:bookmarkEnd w:id="267"/>
                  <w:bookmarkEnd w:id="268"/>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69" w:name="_Toc513836740"/>
                  <w:bookmarkStart w:id="270" w:name="_Toc51383666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56</w:t>
                  </w:r>
                  <w:r>
                    <w:rPr>
                      <w:rFonts w:ascii="楷体" w:hAnsi="楷体" w:eastAsia="楷体"/>
                      <w:i/>
                      <w:color w:val="002060"/>
                    </w:rPr>
                    <w:fldChar w:fldCharType="end"/>
                  </w:r>
                  <w:r>
                    <w:rPr>
                      <w:rFonts w:hint="eastAsia" w:ascii="楷体" w:hAnsi="楷体" w:eastAsia="楷体"/>
                      <w:i/>
                      <w:color w:val="002060"/>
                    </w:rPr>
                    <w:t>：上期所注册仓单</w:t>
                  </w:r>
                  <w:bookmarkEnd w:id="269"/>
                  <w:bookmarkEnd w:id="27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6" o:spid="_x0000_s1081" type="#_x0000_t75" style="height:170.1pt;width:226.75pt;rotation:0f;" o:ole="f" fillcolor="#FFFFFF" filled="f" o:preferrelative="t" stroked="f" coordorigin="0,0" coordsize="21600,21600">
                        <v:fill on="f" color2="#FFFFFF" focus="0%"/>
                        <v:imagedata gain="65536f" blacklevel="0f" gamma="0" o:title="" r:id="rId65"/>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7" o:spid="_x0000_s1082" type="#_x0000_t75" style="height:170.1pt;width:226.75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71" w:name="_Toc513836741"/>
                  <w:bookmarkStart w:id="272" w:name="_Toc51383667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轮胎开工率</w:t>
                  </w:r>
                  <w:bookmarkEnd w:id="271"/>
                  <w:bookmarkEnd w:id="272"/>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273" w:name="_Toc513836742"/>
                  <w:bookmarkStart w:id="274" w:name="_Toc51383667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58</w:t>
                  </w:r>
                  <w:r>
                    <w:rPr>
                      <w:rFonts w:ascii="楷体" w:hAnsi="楷体" w:eastAsia="楷体"/>
                      <w:i/>
                      <w:color w:val="002060"/>
                    </w:rPr>
                    <w:fldChar w:fldCharType="end"/>
                  </w:r>
                  <w:r>
                    <w:rPr>
                      <w:rFonts w:hint="eastAsia" w:ascii="楷体" w:hAnsi="楷体" w:eastAsia="楷体"/>
                      <w:i/>
                      <w:color w:val="002060"/>
                    </w:rPr>
                    <w:t>：汽车产销量</w:t>
                  </w:r>
                  <w:bookmarkEnd w:id="273"/>
                  <w:bookmarkEnd w:id="27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8" o:spid="_x0000_s1083" type="#_x0000_t75" style="height:170.1pt;width:226.75pt;rotation:0f;" o:ole="f" fillcolor="#FFFFFF" filled="f" o:preferrelative="t" stroked="f" coordorigin="0,0" coordsize="21600,21600">
                        <v:fill on="f" color2="#FFFFFF" focus="0%"/>
                        <v:imagedata gain="65536f" blacklevel="0f" gamma="0" o:title="" r:id="rId66"/>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49" o:spid="_x0000_s1084" type="#_x0000_t75" style="height:170.1pt;width:226.75pt;rotation:0f;" o:ole="f" fillcolor="#FFFFFF" filled="f" o:preferrelative="t" stroked="f" coordorigin="0,0" coordsize="21600,21600">
                        <v:fill on="f" color2="#FFFFFF" focus="0%"/>
                        <v:imagedata gain="65536f" blacklevel="0f" gamma="0" o:title="" r:id="rId67"/>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75" w:name="_Toc513901756"/>
      <w:bookmarkStart w:id="276" w:name="_Toc518221427"/>
      <w:bookmarkStart w:id="277" w:name="_Toc513394793"/>
      <w:bookmarkStart w:id="278" w:name="_Toc511512905"/>
      <w:bookmarkStart w:id="279" w:name="_Toc511513017"/>
      <w:bookmarkStart w:id="280" w:name="_Toc511581223"/>
      <w:r>
        <w:rPr>
          <w:rFonts w:hint="eastAsia" w:ascii="楷体" w:hAnsi="楷体" w:eastAsia="楷体" w:cs="黑体"/>
          <w:b/>
          <w:color w:val="C00000"/>
          <w:sz w:val="24"/>
          <w:szCs w:val="32"/>
        </w:rPr>
        <w:t>3</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内在逻辑</w:t>
      </w:r>
      <w:bookmarkEnd w:id="275"/>
      <w:bookmarkEnd w:id="276"/>
      <w:bookmarkEnd w:id="277"/>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供给红利</w:t>
      </w:r>
    </w:p>
    <w:p>
      <w:pPr>
        <w:spacing w:before="156" w:after="156" w:line="240" w:lineRule="exact"/>
        <w:ind w:left="2415" w:leftChars="1150"/>
        <w:rPr>
          <w:rFonts w:ascii="Calibri" w:hAnsi="Calibri" w:eastAsia="楷体" w:cs="Calibri"/>
        </w:rPr>
      </w:pPr>
      <w:r>
        <w:rPr>
          <w:rFonts w:hint="eastAsia" w:ascii="Calibri" w:hAnsi="Calibri" w:eastAsia="楷体" w:cs="Calibri"/>
        </w:rPr>
        <w:t>在需求端较为平稳的情况下，供应端变化对橡胶行情的影响较大。全球天然橡胶供需关系正处于并将长期处于产能过剩阶段，一般来说，橡胶产量的增加有四大红利。一是价格红利：传统经济理论中，供给量与价格成正相关，几乎适用于所有商品。二是规模红利：高胶价时大量种植橡胶树，导致后期割胶面积扩大。三是青年红利：橡胶树的经济寿命平均为30年左右，7—15龄树产胶量增速最高，目前东南亚产区青年橡胶树占比较大。四是困境红利：对泰国的600万胶农而言，大部分以割胶作为唯一职业，售卖原料几乎是全部的经济来源。尽管胶价低迷，但仍要维持生计，只能提高割胶频率以换取生活必需品，结果是产量更大而价格更低。不同于西方经济学，生产者困境有悖于理性人的假设，但却是现实存在的。橡胶价格跌破主流生产现金成本不一定等于触底信号，由于供给红利的存在，底部是复杂和难以把握的。</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20号胶来了</w:t>
      </w:r>
    </w:p>
    <w:p>
      <w:pPr>
        <w:spacing w:before="156" w:after="156" w:line="240" w:lineRule="exact"/>
        <w:ind w:left="2415" w:leftChars="1150"/>
        <w:rPr>
          <w:rFonts w:ascii="Calibri" w:hAnsi="Calibri" w:eastAsia="楷体" w:cs="Calibri"/>
        </w:rPr>
      </w:pPr>
      <w:r>
        <w:rPr>
          <w:rFonts w:hint="eastAsia" w:ascii="Calibri" w:hAnsi="Calibri" w:eastAsia="楷体" w:cs="Calibri"/>
        </w:rPr>
        <w:t>据悉，上期所20号胶作为特定期货品种的立项申请近日已获得中国证监会批复同意。20号胶期货品种将采取和原油期货类似的相关政策，以国际平台、人民币计价为上市模式，采用净价交易、保税交割的方案，全面引入境外交易者参与。20号胶是当今全球天然橡胶产业最主要、最具代表性的品种。20号胶是轮胎行业的重要基础原料，天然橡胶的下游需求中，约有70%用于轮胎制造，其中20号胶的使用比例约占80%。中国作为世界第一大轮胎制造国，也是20号胶最大的进口国和消费国，主要进口来源为东南亚产胶国。据统计，中国82%的进口20号胶来自泰国、印度尼西亚和马来西亚，同时中国进口量约占三国出口总量的57%。20号胶期货品种的上市，解决了现有天然橡胶期货交割品和流通品的错配问题，有利于全球天然橡胶市场定价体系的完善。</w:t>
      </w:r>
    </w:p>
    <w:p>
      <w:pPr>
        <w:spacing w:before="156" w:after="156" w:line="240" w:lineRule="exact"/>
        <w:ind w:left="2415" w:leftChars="1150"/>
        <w:rPr>
          <w:rFonts w:ascii="Calibri" w:hAnsi="Calibri" w:eastAsia="楷体" w:cs="Calibri"/>
        </w:rPr>
      </w:pPr>
      <w:r>
        <w:rPr>
          <w:rFonts w:hint="eastAsia" w:ascii="Calibri" w:hAnsi="Calibri" w:eastAsia="楷体" w:cs="Calibri"/>
        </w:rPr>
        <w:t>目前沪胶期货交割标的以全乳胶为主，外加少量烟片胶。虽然全乳胶并非下游需求的主力，但一直以来包括20号胶在内的其他胶种都无法交割，全乳胶的交割品属性形成溢价。针对沪胶期货合约这一特点，天然橡胶贸易商多采取非标套利，即使用混合胶与沪胶在期现市场上进行套利。20号标胶立项通过，将打破全乳胶升水的局面，并有望改变非标套利的主流交易模式，迫使09合约提前回归现货。混合胶—沪胶非标套利将向20号标胶套利转移，和全乳胶大部分向后展期不同，20号胶存在大量实际交割的需求，可缓解远月高升水的问题。由于天然橡胶可交割数量增多，交割仓库库容需要扩大，沪胶虚实盘比降低，有利于减少逼仓风险。此外，交割标的与流通标的相匹配，增加轮胎厂商参与套保的积极性，令期货市场更好地为实体经济服务。</w:t>
      </w:r>
    </w:p>
    <w:p>
      <w:pPr>
        <w:spacing w:before="156" w:after="156" w:line="240" w:lineRule="exact"/>
        <w:ind w:left="2415" w:leftChars="1150"/>
        <w:rPr>
          <w:rFonts w:ascii="Calibri" w:hAnsi="Calibri" w:eastAsia="楷体" w:cs="Calibri"/>
        </w:rPr>
      </w:pPr>
      <w:r>
        <w:rPr>
          <w:rFonts w:hint="eastAsia" w:ascii="Calibri" w:hAnsi="Calibri" w:eastAsia="楷体" w:cs="Calibri"/>
        </w:rPr>
        <w:t>沪胶独特的升贴水结构为贸易商参与非标套利创造大量机会，由于收益可观而风险可控，近年来迅速发展成为主流交易模式。20号标胶将打破全乳胶对交割品的垄断地位，使得期货价格在交割前更加贴近现货。预计未来橡胶期现价差长期处于合理范围内，混合胶—沪胶非标套利的时代将会结束。合理推测，20号胶期货品种上市后，必将从现有沪胶期货合约中分流出大量的资金。沪胶仓单不断刷新历史纪录，再考虑非标套利盘的庞大体量，显然多头应该转向20号标胶。对于空头亦然，随着非标套利交易方式的终结，现存套利盘头寸等待离场。然而实际情况会比推理假设更为复杂，多空双方离场方式，心理和行为上的博弈，都将给行情演变增添极大的不确定性。</w:t>
      </w:r>
    </w:p>
    <w:bookmarkEnd w:id="278"/>
    <w:bookmarkEnd w:id="279"/>
    <w:bookmarkEnd w:id="280"/>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81" w:name="_Toc511581224"/>
      <w:bookmarkStart w:id="282" w:name="_Toc511512906"/>
      <w:bookmarkStart w:id="283" w:name="_Toc511513018"/>
      <w:bookmarkStart w:id="284" w:name="_Toc513394794"/>
      <w:bookmarkStart w:id="285" w:name="_Toc513901757"/>
      <w:bookmarkStart w:id="286" w:name="_Toc518221428"/>
      <w:r>
        <w:rPr>
          <w:rFonts w:ascii="楷体" w:hAnsi="楷体" w:eastAsia="楷体" w:cs="黑体"/>
          <w:b/>
          <w:color w:val="C00000"/>
          <w:sz w:val="24"/>
          <w:szCs w:val="32"/>
        </w:rPr>
        <w:t>4 总结建议</w:t>
      </w:r>
      <w:bookmarkEnd w:id="281"/>
      <w:bookmarkEnd w:id="282"/>
      <w:bookmarkEnd w:id="283"/>
      <w:bookmarkEnd w:id="284"/>
      <w:bookmarkEnd w:id="285"/>
      <w:bookmarkEnd w:id="286"/>
    </w:p>
    <w:p>
      <w:pPr>
        <w:spacing w:before="156" w:after="156" w:line="240" w:lineRule="exact"/>
        <w:ind w:left="2415" w:leftChars="1150"/>
        <w:rPr>
          <w:rFonts w:ascii="Calibri" w:hAnsi="Calibri" w:eastAsia="楷体" w:cs="Calibri"/>
        </w:rPr>
      </w:pPr>
      <w:bookmarkStart w:id="287" w:name="_Toc486783206"/>
      <w:r>
        <w:rPr>
          <w:rFonts w:hint="eastAsia" w:ascii="Calibri" w:hAnsi="Calibri" w:eastAsia="楷体" w:cs="Calibri"/>
        </w:rPr>
        <w:t>天然橡胶供需矛盾突出，是基本面最差的品种之一。2017年以来，橡胶期货盘面呈现难涨易跌，慢涨急跌的特点。天然橡胶的金融属性较强，美联储快节奏加息，意大利政治危机，中美贸易战激化，诸多宏观方面的利空因素均有可能对盘面造成打压。在通胀预期炒作的市场氛围中，资金或流向橡胶这一价值洼地，但橡胶缺乏基本面支撑，难以构成趋势性上涨，极易被打回原形。应理性辩证地看待供需关系，人弃我取，人取我予。</w:t>
      </w:r>
    </w:p>
    <w:p>
      <w:pPr>
        <w:spacing w:before="156" w:after="156" w:line="240" w:lineRule="exact"/>
        <w:ind w:left="2415" w:leftChars="1150"/>
        <w:rPr>
          <w:rFonts w:ascii="Calibri" w:hAnsi="Calibri" w:eastAsia="楷体" w:cs="Calibri"/>
        </w:rPr>
      </w:pPr>
      <w:r>
        <w:rPr>
          <w:rFonts w:hint="eastAsia" w:ascii="Calibri" w:hAnsi="Calibri" w:eastAsia="楷体" w:cs="Calibri"/>
        </w:rPr>
        <w:t>20号胶计划上市的消息对沪胶造成冲击，叠加大宗商品悲观情绪导致盘面超跌，但不排除跌无可跌令做空动能衰竭，短线存在超跌反弹的可能。目前沪胶运行于成本线下方，关注底部10000整数大关的支撑。橡胶维持中长期趋势震荡筑底观点，建议急涨勿追，逢高沽空。</w:t>
      </w:r>
    </w:p>
    <w:p>
      <w:pPr>
        <w:spacing w:before="156" w:after="156" w:line="240" w:lineRule="exact"/>
        <w:ind w:left="2415" w:leftChars="1150"/>
        <w:rPr>
          <w:rFonts w:ascii="宋体" w:hAnsi="宋体" w:eastAsia="宋体"/>
          <w:sz w:val="20"/>
        </w:rPr>
      </w:pPr>
      <w:r>
        <w:rPr>
          <w:rFonts w:ascii="宋体" w:hAnsi="宋体" w:eastAsia="宋体"/>
          <w:sz w:val="20"/>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288" w:name="_Toc518221429"/>
      <w:r>
        <w:rPr>
          <w:rFonts w:hint="eastAsia" w:ascii="楷体" w:hAnsi="楷体" w:eastAsia="楷体" w:cs="黑体"/>
          <w:b/>
          <w:color w:val="C00000"/>
          <w:sz w:val="28"/>
          <w:szCs w:val="32"/>
        </w:rPr>
        <w:t>PTA</w:t>
      </w:r>
      <w:bookmarkEnd w:id="288"/>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89" w:name="_Toc518221430"/>
      <w:r>
        <w:rPr>
          <w:rFonts w:ascii="楷体" w:hAnsi="楷体" w:eastAsia="楷体" w:cs="黑体"/>
          <w:b/>
          <w:color w:val="C00000"/>
          <w:sz w:val="24"/>
          <w:szCs w:val="32"/>
        </w:rPr>
        <w:t xml:space="preserve">1 </w:t>
      </w:r>
      <w:r>
        <w:rPr>
          <w:rFonts w:hint="eastAsia" w:ascii="楷体" w:hAnsi="楷体" w:eastAsia="楷体" w:cs="黑体"/>
          <w:b/>
          <w:color w:val="C00000"/>
          <w:sz w:val="24"/>
          <w:szCs w:val="32"/>
        </w:rPr>
        <w:t>走势</w:t>
      </w:r>
      <w:r>
        <w:rPr>
          <w:rFonts w:ascii="楷体" w:hAnsi="楷体" w:eastAsia="楷体" w:cs="黑体"/>
          <w:b/>
          <w:color w:val="C00000"/>
          <w:sz w:val="24"/>
          <w:szCs w:val="32"/>
        </w:rPr>
        <w:t>回顾</w:t>
      </w:r>
      <w:bookmarkEnd w:id="289"/>
    </w:p>
    <w:p>
      <w:pPr>
        <w:spacing w:before="156" w:after="156" w:line="240" w:lineRule="exact"/>
        <w:ind w:left="2415" w:leftChars="1150"/>
        <w:rPr>
          <w:rFonts w:ascii="Calibri" w:hAnsi="Calibri" w:eastAsia="楷体" w:cs="Calibri"/>
        </w:rPr>
      </w:pPr>
      <w:r>
        <w:rPr>
          <w:rFonts w:hint="eastAsia" w:ascii="Calibri" w:hAnsi="Calibri" w:eastAsia="楷体" w:cs="Calibri"/>
        </w:rPr>
        <w:t>本周P</w:t>
      </w:r>
      <w:r>
        <w:rPr>
          <w:rFonts w:ascii="Calibri" w:hAnsi="Calibri" w:eastAsia="楷体" w:cs="Calibri"/>
        </w:rPr>
        <w:t>TA</w:t>
      </w:r>
      <w:r>
        <w:rPr>
          <w:rFonts w:hint="eastAsia" w:ascii="Calibri" w:hAnsi="Calibri" w:eastAsia="楷体" w:cs="Calibri"/>
        </w:rPr>
        <w:t>主力</w:t>
      </w:r>
      <w:r>
        <w:rPr>
          <w:rFonts w:ascii="Calibri" w:hAnsi="Calibri" w:eastAsia="楷体" w:cs="Calibri"/>
        </w:rPr>
        <w:t>1809</w:t>
      </w:r>
      <w:r>
        <w:rPr>
          <w:rFonts w:hint="eastAsia" w:ascii="Calibri" w:hAnsi="Calibri" w:eastAsia="楷体" w:cs="Calibri"/>
        </w:rPr>
        <w:t>合约前两个交易日低位震荡，于周三收盘前3分钟大幅上涨，周四周五两日高位震荡。周线形态收复了5月下旬以来的下跌，逼近两年来的新高。日内成交量周四达到顶峰后，周五成交量小幅萎缩。持仓量与上周五收盘时略有增加，达到7</w:t>
      </w:r>
      <w:r>
        <w:rPr>
          <w:rFonts w:ascii="Calibri" w:hAnsi="Calibri" w:eastAsia="楷体" w:cs="Calibri"/>
        </w:rPr>
        <w:t>9</w:t>
      </w:r>
      <w:r>
        <w:rPr>
          <w:rFonts w:hint="eastAsia" w:ascii="Calibri" w:hAnsi="Calibri" w:eastAsia="楷体" w:cs="Calibri"/>
        </w:rPr>
        <w:t>万手。现货方面，受到下游聚酯产销两旺的影响，原料端华东P</w:t>
      </w:r>
      <w:r>
        <w:rPr>
          <w:rFonts w:ascii="Calibri" w:hAnsi="Calibri" w:eastAsia="楷体" w:cs="Calibri"/>
        </w:rPr>
        <w:t>TA</w:t>
      </w:r>
      <w:r>
        <w:rPr>
          <w:rFonts w:hint="eastAsia" w:ascii="Calibri" w:hAnsi="Calibri" w:eastAsia="楷体" w:cs="Calibri"/>
        </w:rPr>
        <w:t>成交氛围较好，周四日内出现0</w:t>
      </w:r>
      <w:r>
        <w:rPr>
          <w:rFonts w:ascii="Calibri" w:hAnsi="Calibri" w:eastAsia="楷体" w:cs="Calibri"/>
        </w:rPr>
        <w:t>9</w:t>
      </w:r>
      <w:r>
        <w:rPr>
          <w:rFonts w:hint="eastAsia" w:ascii="Calibri" w:hAnsi="Calibri" w:eastAsia="楷体" w:cs="Calibri"/>
        </w:rPr>
        <w:t>合约升水7</w:t>
      </w:r>
      <w:r>
        <w:rPr>
          <w:rFonts w:ascii="Calibri" w:hAnsi="Calibri" w:eastAsia="楷体" w:cs="Calibri"/>
        </w:rPr>
        <w:t>0</w:t>
      </w:r>
      <w:r>
        <w:rPr>
          <w:rFonts w:hint="eastAsia" w:ascii="Calibri" w:hAnsi="Calibri" w:eastAsia="楷体" w:cs="Calibri"/>
        </w:rPr>
        <w:t>元的仓单自提价。市场情绪较上月有大幅提升。</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90" w:name="_Toc518221431"/>
      <w:r>
        <w:rPr>
          <w:rFonts w:ascii="楷体" w:hAnsi="楷体" w:eastAsia="楷体" w:cs="黑体"/>
          <w:b/>
          <w:color w:val="C00000"/>
          <w:sz w:val="24"/>
          <w:szCs w:val="32"/>
        </w:rPr>
        <w:t xml:space="preserve">2 </w:t>
      </w:r>
      <w:r>
        <w:rPr>
          <w:rFonts w:hint="eastAsia" w:ascii="楷体" w:hAnsi="楷体" w:eastAsia="楷体" w:cs="黑体"/>
          <w:b/>
          <w:color w:val="C00000"/>
          <w:sz w:val="24"/>
          <w:szCs w:val="32"/>
        </w:rPr>
        <w:t>基本面分析</w:t>
      </w:r>
      <w:bookmarkEnd w:id="290"/>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需求端：涤纶产销两旺</w:t>
      </w:r>
    </w:p>
    <w:p>
      <w:pPr>
        <w:spacing w:before="156" w:after="156" w:line="240" w:lineRule="exact"/>
        <w:ind w:left="2415" w:leftChars="1150"/>
        <w:rPr>
          <w:rFonts w:ascii="Calibri" w:hAnsi="Calibri" w:eastAsia="楷体" w:cs="Calibri"/>
        </w:rPr>
      </w:pPr>
      <w:r>
        <w:rPr>
          <w:rFonts w:hint="eastAsia" w:ascii="Calibri" w:hAnsi="Calibri" w:eastAsia="楷体" w:cs="Calibri"/>
        </w:rPr>
        <w:t>尽管已经到达7月，但是终端涤纶的产销依然火热，一改往年淡季成交冷清的氛围。终端涤纶价格虽然价格没有大幅上涨，但是成交量十分惊人。周五时亦传出厂商供不应求，停止销售的传闻。涤纶的库存并未像往年同期，出现淡季库存积压的状况。涤纶长短丝的库存近期保持稳定，出现稳中有降的态势。市场上存在分析认为，本轮产销两旺的态势或将延续至9、1</w:t>
      </w:r>
      <w:r>
        <w:rPr>
          <w:rFonts w:ascii="Calibri" w:hAnsi="Calibri" w:eastAsia="楷体" w:cs="Calibri"/>
        </w:rPr>
        <w:t>0</w:t>
      </w:r>
      <w:r>
        <w:rPr>
          <w:rFonts w:hint="eastAsia" w:ascii="Calibri" w:hAnsi="Calibri" w:eastAsia="楷体" w:cs="Calibri"/>
        </w:rPr>
        <w:t>月份，届时叠加传统旺季因素影响，P</w:t>
      </w:r>
      <w:r>
        <w:rPr>
          <w:rFonts w:ascii="Calibri" w:hAnsi="Calibri" w:eastAsia="楷体" w:cs="Calibri"/>
        </w:rPr>
        <w:t>TA</w:t>
      </w:r>
      <w:r>
        <w:rPr>
          <w:rFonts w:hint="eastAsia" w:ascii="Calibri" w:hAnsi="Calibri" w:eastAsia="楷体" w:cs="Calibri"/>
        </w:rPr>
        <w:t>将会迎来强势上涨。</w:t>
      </w:r>
    </w:p>
    <w:p>
      <w:pPr>
        <w:spacing w:before="156" w:after="156" w:line="240" w:lineRule="exact"/>
        <w:ind w:left="2415" w:leftChars="1150"/>
        <w:rPr>
          <w:rFonts w:ascii="Calibri" w:hAnsi="Calibri" w:eastAsia="楷体" w:cs="Calibri"/>
        </w:rPr>
      </w:pPr>
      <w:r>
        <w:rPr>
          <w:rFonts w:hint="eastAsia" w:ascii="Calibri" w:hAnsi="Calibri" w:eastAsia="楷体" w:cs="Calibri"/>
        </w:rPr>
        <w:t>5月开始，环保督察组开始“回头看”工作，江苏的纺织行业也受到影响。对环境有污染的喷水织机企业也受到影响。近日，随着环保“回头看”的深入，盛泽地区的中小企业因为环保不达标，受到罚款，甚至停产、整改等措施。有报道称，近日环保督查突击检查，集中整治了许多环保不达标的污染企业，封停不合格的喷水织机1</w:t>
      </w:r>
      <w:r>
        <w:rPr>
          <w:rFonts w:ascii="Calibri" w:hAnsi="Calibri" w:eastAsia="楷体" w:cs="Calibri"/>
        </w:rPr>
        <w:t>00</w:t>
      </w:r>
      <w:r>
        <w:rPr>
          <w:rFonts w:hint="eastAsia" w:ascii="Calibri" w:hAnsi="Calibri" w:eastAsia="楷体" w:cs="Calibri"/>
        </w:rPr>
        <w:t>余台。此外，督察组重点检查了污染较为严重的涂层企业。截至6月底，盛泽镇公示了7</w:t>
      </w:r>
      <w:r>
        <w:rPr>
          <w:rFonts w:ascii="Calibri" w:hAnsi="Calibri" w:eastAsia="楷体" w:cs="Calibri"/>
        </w:rPr>
        <w:t>1</w:t>
      </w:r>
      <w:r>
        <w:rPr>
          <w:rFonts w:hint="eastAsia" w:ascii="Calibri" w:hAnsi="Calibri" w:eastAsia="楷体" w:cs="Calibri"/>
        </w:rPr>
        <w:t>家环保不达标的织机企业，其中也包含了一些当地的龙头企业。</w:t>
      </w:r>
    </w:p>
    <w:p>
      <w:pPr>
        <w:spacing w:before="156" w:after="156" w:line="240" w:lineRule="exact"/>
        <w:ind w:left="2415" w:leftChars="1150"/>
        <w:rPr>
          <w:rFonts w:ascii="Calibri" w:hAnsi="Calibri" w:eastAsia="楷体" w:cs="Calibri"/>
        </w:rPr>
      </w:pPr>
      <w:r>
        <w:rPr>
          <w:rFonts w:hint="eastAsia" w:ascii="Calibri" w:hAnsi="Calibri" w:eastAsia="楷体" w:cs="Calibri"/>
        </w:rPr>
        <w:t>整体来看，涤纶产销两旺的态势会使得传统的</w:t>
      </w:r>
      <w:r>
        <w:rPr>
          <w:rFonts w:ascii="Calibri" w:hAnsi="Calibri" w:eastAsia="楷体" w:cs="Calibri"/>
        </w:rPr>
        <w:t>6</w:t>
      </w:r>
      <w:r>
        <w:rPr>
          <w:rFonts w:hint="eastAsia" w:ascii="Calibri" w:hAnsi="Calibri" w:eastAsia="楷体" w:cs="Calibri"/>
        </w:rPr>
        <w:t>、7月份淡季不淡。终端销售顺畅叠加环保督查逐渐增强，或将进一步增加P</w:t>
      </w:r>
      <w:r>
        <w:rPr>
          <w:rFonts w:ascii="Calibri" w:hAnsi="Calibri" w:eastAsia="楷体" w:cs="Calibri"/>
        </w:rPr>
        <w:t>TA</w:t>
      </w:r>
      <w:r>
        <w:rPr>
          <w:rFonts w:hint="eastAsia" w:ascii="Calibri" w:hAnsi="Calibri" w:eastAsia="楷体" w:cs="Calibri"/>
        </w:rPr>
        <w:t>的上方空间。后期随着乙二醇走势变强，需求端对P</w:t>
      </w:r>
      <w:r>
        <w:rPr>
          <w:rFonts w:ascii="Calibri" w:hAnsi="Calibri" w:eastAsia="楷体" w:cs="Calibri"/>
        </w:rPr>
        <w:t>TA</w:t>
      </w:r>
      <w:r>
        <w:rPr>
          <w:rFonts w:hint="eastAsia" w:ascii="Calibri" w:hAnsi="Calibri" w:eastAsia="楷体" w:cs="Calibri"/>
        </w:rPr>
        <w:t>的拉升将逐步凸显。</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成本端：原油利空出尽，上游炼化产品价格上涨</w:t>
      </w:r>
    </w:p>
    <w:p>
      <w:pPr>
        <w:spacing w:before="156" w:after="156" w:line="240" w:lineRule="exact"/>
        <w:ind w:left="2415" w:leftChars="1150"/>
        <w:rPr>
          <w:rFonts w:ascii="Calibri" w:hAnsi="Calibri" w:eastAsia="楷体" w:cs="Calibri"/>
        </w:rPr>
      </w:pPr>
      <w:r>
        <w:rPr>
          <w:rFonts w:hint="eastAsia" w:ascii="Calibri" w:hAnsi="Calibri" w:eastAsia="楷体" w:cs="Calibri"/>
        </w:rPr>
        <w:t>伊朗的核危机叠加</w:t>
      </w:r>
      <w:r>
        <w:rPr>
          <w:rFonts w:ascii="Calibri" w:hAnsi="Calibri" w:eastAsia="楷体" w:cs="Calibri"/>
        </w:rPr>
        <w:t>OPEC</w:t>
      </w:r>
      <w:r>
        <w:rPr>
          <w:rFonts w:hint="eastAsia" w:ascii="Calibri" w:hAnsi="Calibri" w:eastAsia="楷体" w:cs="Calibri"/>
        </w:rPr>
        <w:t>的产能释放不及预期，使得本周油价有较大幅度的上涨，Brent原油重新接近8</w:t>
      </w:r>
      <w:r>
        <w:rPr>
          <w:rFonts w:ascii="Calibri" w:hAnsi="Calibri" w:eastAsia="楷体" w:cs="Calibri"/>
        </w:rPr>
        <w:t>0</w:t>
      </w:r>
      <w:r>
        <w:rPr>
          <w:rFonts w:hint="eastAsia" w:ascii="Calibri" w:hAnsi="Calibri" w:eastAsia="楷体" w:cs="Calibri"/>
        </w:rPr>
        <w:t>美元/桶，W</w:t>
      </w:r>
      <w:r>
        <w:rPr>
          <w:rFonts w:ascii="Calibri" w:hAnsi="Calibri" w:eastAsia="楷体" w:cs="Calibri"/>
        </w:rPr>
        <w:t>TI</w:t>
      </w:r>
      <w:r>
        <w:rPr>
          <w:rFonts w:hint="eastAsia" w:ascii="Calibri" w:hAnsi="Calibri" w:eastAsia="楷体" w:cs="Calibri"/>
        </w:rPr>
        <w:t>原油逼近7</w:t>
      </w:r>
      <w:r>
        <w:rPr>
          <w:rFonts w:ascii="Calibri" w:hAnsi="Calibri" w:eastAsia="楷体" w:cs="Calibri"/>
        </w:rPr>
        <w:t>5</w:t>
      </w:r>
      <w:r>
        <w:rPr>
          <w:rFonts w:hint="eastAsia" w:ascii="Calibri" w:hAnsi="Calibri" w:eastAsia="楷体" w:cs="Calibri"/>
        </w:rPr>
        <w:t>美元/桶前期高位。原油上涨的影响，P</w:t>
      </w:r>
      <w:r>
        <w:rPr>
          <w:rFonts w:ascii="Calibri" w:hAnsi="Calibri" w:eastAsia="楷体" w:cs="Calibri"/>
        </w:rPr>
        <w:t>TA</w:t>
      </w:r>
      <w:r>
        <w:rPr>
          <w:rFonts w:hint="eastAsia" w:ascii="Calibri" w:hAnsi="Calibri" w:eastAsia="楷体" w:cs="Calibri"/>
        </w:rPr>
        <w:t>上游原材料石脑油和P</w:t>
      </w:r>
      <w:r>
        <w:rPr>
          <w:rFonts w:ascii="Calibri" w:hAnsi="Calibri" w:eastAsia="楷体" w:cs="Calibri"/>
        </w:rPr>
        <w:t>X</w:t>
      </w:r>
      <w:r>
        <w:rPr>
          <w:rFonts w:hint="eastAsia" w:ascii="Calibri" w:hAnsi="Calibri" w:eastAsia="楷体" w:cs="Calibri"/>
        </w:rPr>
        <w:t>的价格均出现不同程度的上涨。石脑油C</w:t>
      </w:r>
      <w:r>
        <w:rPr>
          <w:rFonts w:ascii="Calibri" w:hAnsi="Calibri" w:eastAsia="楷体" w:cs="Calibri"/>
        </w:rPr>
        <w:t>FR</w:t>
      </w:r>
      <w:r>
        <w:rPr>
          <w:rFonts w:hint="eastAsia" w:ascii="Calibri" w:hAnsi="Calibri" w:eastAsia="楷体" w:cs="Calibri"/>
        </w:rPr>
        <w:t>日本价格从6</w:t>
      </w:r>
      <w:r>
        <w:rPr>
          <w:rFonts w:ascii="Calibri" w:hAnsi="Calibri" w:eastAsia="楷体" w:cs="Calibri"/>
        </w:rPr>
        <w:t>31</w:t>
      </w:r>
      <w:r>
        <w:rPr>
          <w:rFonts w:hint="eastAsia" w:ascii="Calibri" w:hAnsi="Calibri" w:eastAsia="楷体" w:cs="Calibri"/>
        </w:rPr>
        <w:t>元/吨上涨至6</w:t>
      </w:r>
      <w:r>
        <w:rPr>
          <w:rFonts w:ascii="Calibri" w:hAnsi="Calibri" w:eastAsia="楷体" w:cs="Calibri"/>
        </w:rPr>
        <w:t>52</w:t>
      </w:r>
      <w:r>
        <w:rPr>
          <w:rFonts w:hint="eastAsia" w:ascii="Calibri" w:hAnsi="Calibri" w:eastAsia="楷体" w:cs="Calibri"/>
        </w:rPr>
        <w:t>元/吨，P</w:t>
      </w:r>
      <w:r>
        <w:rPr>
          <w:rFonts w:ascii="Calibri" w:hAnsi="Calibri" w:eastAsia="楷体" w:cs="Calibri"/>
        </w:rPr>
        <w:t>X</w:t>
      </w:r>
      <w:r>
        <w:rPr>
          <w:rFonts w:hint="eastAsia" w:ascii="Calibri" w:hAnsi="Calibri" w:eastAsia="楷体" w:cs="Calibri"/>
        </w:rPr>
        <w:t>中国主港C</w:t>
      </w:r>
      <w:r>
        <w:rPr>
          <w:rFonts w:ascii="Calibri" w:hAnsi="Calibri" w:eastAsia="楷体" w:cs="Calibri"/>
        </w:rPr>
        <w:t>FR</w:t>
      </w:r>
      <w:r>
        <w:rPr>
          <w:rFonts w:hint="eastAsia" w:ascii="Calibri" w:hAnsi="Calibri" w:eastAsia="楷体" w:cs="Calibri"/>
        </w:rPr>
        <w:t>价格从9</w:t>
      </w:r>
      <w:r>
        <w:rPr>
          <w:rFonts w:ascii="Calibri" w:hAnsi="Calibri" w:eastAsia="楷体" w:cs="Calibri"/>
        </w:rPr>
        <w:t>55</w:t>
      </w:r>
      <w:r>
        <w:rPr>
          <w:rFonts w:hint="eastAsia" w:ascii="Calibri" w:hAnsi="Calibri" w:eastAsia="楷体" w:cs="Calibri"/>
        </w:rPr>
        <w:t>元/吨上涨至9</w:t>
      </w:r>
      <w:r>
        <w:rPr>
          <w:rFonts w:ascii="Calibri" w:hAnsi="Calibri" w:eastAsia="楷体" w:cs="Calibri"/>
        </w:rPr>
        <w:t>84</w:t>
      </w:r>
      <w:r>
        <w:rPr>
          <w:rFonts w:hint="eastAsia" w:ascii="Calibri" w:hAnsi="Calibri" w:eastAsia="楷体" w:cs="Calibri"/>
        </w:rPr>
        <w:t>元/吨。考虑到人民币兑美元汇率再上周的大幅下跌，P</w:t>
      </w:r>
      <w:r>
        <w:rPr>
          <w:rFonts w:ascii="Calibri" w:hAnsi="Calibri" w:eastAsia="楷体" w:cs="Calibri"/>
        </w:rPr>
        <w:t>TA</w:t>
      </w:r>
      <w:r>
        <w:rPr>
          <w:rFonts w:hint="eastAsia" w:ascii="Calibri" w:hAnsi="Calibri" w:eastAsia="楷体" w:cs="Calibri"/>
        </w:rPr>
        <w:t>的原材料成本从4</w:t>
      </w:r>
      <w:r>
        <w:rPr>
          <w:rFonts w:ascii="Calibri" w:hAnsi="Calibri" w:eastAsia="楷体" w:cs="Calibri"/>
        </w:rPr>
        <w:t>804</w:t>
      </w:r>
      <w:r>
        <w:rPr>
          <w:rFonts w:hint="eastAsia" w:ascii="Calibri" w:hAnsi="Calibri" w:eastAsia="楷体" w:cs="Calibri"/>
        </w:rPr>
        <w:t>元/吨，上涨至5</w:t>
      </w:r>
      <w:r>
        <w:rPr>
          <w:rFonts w:ascii="Calibri" w:hAnsi="Calibri" w:eastAsia="楷体" w:cs="Calibri"/>
        </w:rPr>
        <w:t>089</w:t>
      </w:r>
      <w:r>
        <w:rPr>
          <w:rFonts w:hint="eastAsia" w:ascii="Calibri" w:hAnsi="Calibri" w:eastAsia="楷体" w:cs="Calibri"/>
        </w:rPr>
        <w:t>元/吨，涨幅高达6%。</w:t>
      </w:r>
    </w:p>
    <w:p>
      <w:pPr>
        <w:spacing w:before="156" w:after="156" w:line="240" w:lineRule="exact"/>
        <w:ind w:left="2415" w:leftChars="1150"/>
        <w:rPr>
          <w:rFonts w:ascii="Calibri" w:hAnsi="Calibri" w:eastAsia="楷体" w:cs="Calibri"/>
        </w:rPr>
      </w:pPr>
      <w:r>
        <w:rPr>
          <w:rFonts w:hint="eastAsia" w:ascii="Calibri" w:hAnsi="Calibri" w:eastAsia="楷体" w:cs="Calibri"/>
        </w:rPr>
        <w:t>从上游炼化裂解利润的角度来看，石脑油利润稳中有升，依然维持在2</w:t>
      </w:r>
      <w:r>
        <w:rPr>
          <w:rFonts w:ascii="Calibri" w:hAnsi="Calibri" w:eastAsia="楷体" w:cs="Calibri"/>
        </w:rPr>
        <w:t>0</w:t>
      </w:r>
      <w:r>
        <w:rPr>
          <w:rFonts w:hint="eastAsia" w:ascii="Calibri" w:hAnsi="Calibri" w:eastAsia="楷体" w:cs="Calibri"/>
        </w:rPr>
        <w:t>-</w:t>
      </w:r>
      <w:r>
        <w:rPr>
          <w:rFonts w:ascii="Calibri" w:hAnsi="Calibri" w:eastAsia="楷体" w:cs="Calibri"/>
        </w:rPr>
        <w:t>30</w:t>
      </w:r>
      <w:r>
        <w:rPr>
          <w:rFonts w:hint="eastAsia" w:ascii="Calibri" w:hAnsi="Calibri" w:eastAsia="楷体" w:cs="Calibri"/>
        </w:rPr>
        <w:t>美元/吨的区间之中，但出现向上突破趋势；P</w:t>
      </w:r>
      <w:r>
        <w:rPr>
          <w:rFonts w:ascii="Calibri" w:hAnsi="Calibri" w:eastAsia="楷体" w:cs="Calibri"/>
        </w:rPr>
        <w:t>X</w:t>
      </w:r>
      <w:r>
        <w:rPr>
          <w:rFonts w:hint="eastAsia" w:ascii="Calibri" w:hAnsi="Calibri" w:eastAsia="楷体" w:cs="Calibri"/>
        </w:rPr>
        <w:t>裂解利润高位回落，处于2</w:t>
      </w:r>
      <w:r>
        <w:rPr>
          <w:rFonts w:ascii="Calibri" w:hAnsi="Calibri" w:eastAsia="楷体" w:cs="Calibri"/>
        </w:rPr>
        <w:t>0</w:t>
      </w:r>
      <w:r>
        <w:rPr>
          <w:rFonts w:hint="eastAsia" w:ascii="Calibri" w:hAnsi="Calibri" w:eastAsia="楷体" w:cs="Calibri"/>
        </w:rPr>
        <w:t>-</w:t>
      </w:r>
      <w:r>
        <w:rPr>
          <w:rFonts w:ascii="Calibri" w:hAnsi="Calibri" w:eastAsia="楷体" w:cs="Calibri"/>
        </w:rPr>
        <w:t>40</w:t>
      </w:r>
      <w:r>
        <w:rPr>
          <w:rFonts w:hint="eastAsia" w:ascii="Calibri" w:hAnsi="Calibri" w:eastAsia="楷体" w:cs="Calibri"/>
        </w:rPr>
        <w:t>美元/吨区间；P</w:t>
      </w:r>
      <w:r>
        <w:rPr>
          <w:rFonts w:ascii="Calibri" w:hAnsi="Calibri" w:eastAsia="楷体" w:cs="Calibri"/>
        </w:rPr>
        <w:t>TA</w:t>
      </w:r>
      <w:r>
        <w:rPr>
          <w:rFonts w:hint="eastAsia" w:ascii="Calibri" w:hAnsi="Calibri" w:eastAsia="楷体" w:cs="Calibri"/>
        </w:rPr>
        <w:t>加工费稳中略降。上游加工利润的分配比例出现了转换，P</w:t>
      </w:r>
      <w:r>
        <w:rPr>
          <w:rFonts w:ascii="Calibri" w:hAnsi="Calibri" w:eastAsia="楷体" w:cs="Calibri"/>
        </w:rPr>
        <w:t>TA</w:t>
      </w:r>
      <w:r>
        <w:rPr>
          <w:rFonts w:hint="eastAsia" w:ascii="Calibri" w:hAnsi="Calibri" w:eastAsia="楷体" w:cs="Calibri"/>
        </w:rPr>
        <w:t>和P</w:t>
      </w:r>
      <w:r>
        <w:rPr>
          <w:rFonts w:ascii="Calibri" w:hAnsi="Calibri" w:eastAsia="楷体" w:cs="Calibri"/>
        </w:rPr>
        <w:t>X</w:t>
      </w:r>
      <w:r>
        <w:rPr>
          <w:rFonts w:hint="eastAsia" w:ascii="Calibri" w:hAnsi="Calibri" w:eastAsia="楷体" w:cs="Calibri"/>
        </w:rPr>
        <w:t>的利润受到挤压，石脑油端利润得以补充。夏季用油高峰到来，石脑油供需预计会继续偏紧，考虑到目前石脑油端并未获得充分的利润水平，后期随着石脑油调油需求的增加，裂解加工利润将会继续让渡与炼化利润，P</w:t>
      </w:r>
      <w:r>
        <w:rPr>
          <w:rFonts w:ascii="Calibri" w:hAnsi="Calibri" w:eastAsia="楷体" w:cs="Calibri"/>
        </w:rPr>
        <w:t>TA</w:t>
      </w:r>
      <w:r>
        <w:rPr>
          <w:rFonts w:hint="eastAsia" w:ascii="Calibri" w:hAnsi="Calibri" w:eastAsia="楷体" w:cs="Calibri"/>
        </w:rPr>
        <w:t>加工费或将继续紧张，价格将更加坚挺。</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91" w:name="_Toc518221432"/>
      <w:r>
        <w:rPr>
          <w:rFonts w:hint="eastAsia" w:ascii="楷体" w:hAnsi="楷体" w:eastAsia="楷体" w:cs="黑体"/>
          <w:b/>
          <w:color w:val="C00000"/>
          <w:sz w:val="24"/>
          <w:szCs w:val="32"/>
        </w:rPr>
        <w:t>3</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综合分析</w:t>
      </w:r>
      <w:bookmarkEnd w:id="291"/>
    </w:p>
    <w:p>
      <w:pPr>
        <w:spacing w:before="156" w:after="156" w:line="240" w:lineRule="exact"/>
        <w:ind w:left="2415" w:leftChars="1150"/>
        <w:rPr>
          <w:rFonts w:ascii="Calibri" w:hAnsi="Calibri" w:eastAsia="楷体" w:cs="Calibri"/>
        </w:rPr>
      </w:pPr>
      <w:r>
        <w:rPr>
          <w:rFonts w:hint="eastAsia" w:ascii="Calibri" w:hAnsi="Calibri" w:eastAsia="楷体" w:cs="Calibri"/>
        </w:rPr>
        <w:t>整体来看，终端需求淡季不淡，后期环保督查会进一步提升需求，下游对于P</w:t>
      </w:r>
      <w:r>
        <w:rPr>
          <w:rFonts w:ascii="Calibri" w:hAnsi="Calibri" w:eastAsia="楷体" w:cs="Calibri"/>
        </w:rPr>
        <w:t>TA</w:t>
      </w:r>
      <w:r>
        <w:rPr>
          <w:rFonts w:hint="eastAsia" w:ascii="Calibri" w:hAnsi="Calibri" w:eastAsia="楷体" w:cs="Calibri"/>
        </w:rPr>
        <w:t>的拉动力度将由弱转强。成本端原油基本面利空出尽后，上方提振空间扩大。Brent原油有望再度冲击8</w:t>
      </w:r>
      <w:r>
        <w:rPr>
          <w:rFonts w:ascii="Calibri" w:hAnsi="Calibri" w:eastAsia="楷体" w:cs="Calibri"/>
        </w:rPr>
        <w:t>0</w:t>
      </w:r>
      <w:r>
        <w:rPr>
          <w:rFonts w:hint="eastAsia" w:ascii="Calibri" w:hAnsi="Calibri" w:eastAsia="楷体" w:cs="Calibri"/>
        </w:rPr>
        <w:t>美元/桶关口。原油价格上涨带动上游炼化裂解成本提升，P</w:t>
      </w:r>
      <w:r>
        <w:rPr>
          <w:rFonts w:ascii="Calibri" w:hAnsi="Calibri" w:eastAsia="楷体" w:cs="Calibri"/>
        </w:rPr>
        <w:t>TA</w:t>
      </w:r>
      <w:r>
        <w:rPr>
          <w:rFonts w:hint="eastAsia" w:ascii="Calibri" w:hAnsi="Calibri" w:eastAsia="楷体" w:cs="Calibri"/>
        </w:rPr>
        <w:t>加工费面临压力，价格弹性进一步降低。检修结束虽然会增加供给，但是较低的库存规模会冲淡供给对价格的压制。后市P</w:t>
      </w:r>
      <w:r>
        <w:rPr>
          <w:rFonts w:ascii="Calibri" w:hAnsi="Calibri" w:eastAsia="楷体" w:cs="Calibri"/>
        </w:rPr>
        <w:t>TA</w:t>
      </w:r>
      <w:r>
        <w:rPr>
          <w:rFonts w:hint="eastAsia" w:ascii="Calibri" w:hAnsi="Calibri" w:eastAsia="楷体" w:cs="Calibri"/>
        </w:rPr>
        <w:t>或将开启新一轮上涨行情，1</w:t>
      </w:r>
      <w:r>
        <w:rPr>
          <w:rFonts w:ascii="Calibri" w:hAnsi="Calibri" w:eastAsia="楷体" w:cs="Calibri"/>
        </w:rPr>
        <w:t>809</w:t>
      </w:r>
      <w:r>
        <w:rPr>
          <w:rFonts w:hint="eastAsia" w:ascii="Calibri" w:hAnsi="Calibri" w:eastAsia="楷体" w:cs="Calibri"/>
        </w:rPr>
        <w:t>合约可轻仓试多，或轻仓参与9-</w:t>
      </w:r>
      <w:r>
        <w:rPr>
          <w:rFonts w:ascii="Calibri" w:hAnsi="Calibri" w:eastAsia="楷体" w:cs="Calibri"/>
        </w:rPr>
        <w:t>1</w:t>
      </w:r>
      <w:r>
        <w:rPr>
          <w:rFonts w:hint="eastAsia" w:ascii="Calibri" w:hAnsi="Calibri" w:eastAsia="楷体" w:cs="Calibri"/>
        </w:rPr>
        <w:t>合约的正向套利。</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92" w:name="_Toc518221433"/>
      <w:r>
        <w:rPr>
          <w:rFonts w:ascii="楷体" w:hAnsi="楷体" w:eastAsia="楷体" w:cs="黑体"/>
          <w:b/>
          <w:color w:val="C00000"/>
          <w:sz w:val="24"/>
          <w:szCs w:val="32"/>
        </w:rPr>
        <w:t>4</w:t>
      </w:r>
      <w:r>
        <w:rPr>
          <w:rFonts w:hint="eastAsia" w:ascii="楷体" w:hAnsi="楷体" w:eastAsia="楷体" w:cs="黑体"/>
          <w:b/>
          <w:color w:val="C00000"/>
          <w:sz w:val="24"/>
          <w:szCs w:val="32"/>
        </w:rPr>
        <w:t xml:space="preserve"> 期现货</w:t>
      </w:r>
      <w:r>
        <w:rPr>
          <w:rFonts w:ascii="楷体" w:hAnsi="楷体" w:eastAsia="楷体" w:cs="黑体"/>
          <w:b/>
          <w:color w:val="C00000"/>
          <w:sz w:val="24"/>
          <w:szCs w:val="32"/>
        </w:rPr>
        <w:t>数据</w:t>
      </w:r>
      <w:bookmarkEnd w:id="292"/>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P</w:t>
                  </w:r>
                  <w:r>
                    <w:rPr>
                      <w:rFonts w:ascii="楷体" w:hAnsi="楷体" w:eastAsia="楷体"/>
                      <w:i/>
                      <w:color w:val="002060"/>
                      <w:szCs w:val="21"/>
                    </w:rPr>
                    <w:t>TA</w:t>
                  </w:r>
                  <w:r>
                    <w:rPr>
                      <w:rFonts w:hint="eastAsia" w:ascii="楷体" w:hAnsi="楷体" w:eastAsia="楷体"/>
                      <w:i/>
                      <w:color w:val="002060"/>
                      <w:szCs w:val="21"/>
                    </w:rPr>
                    <w:t>库存</w:t>
                  </w:r>
                  <w:r>
                    <w:rPr>
                      <w:rFonts w:ascii="楷体" w:hAnsi="楷体" w:eastAsia="楷体"/>
                      <w:i/>
                      <w:color w:val="002060"/>
                      <w:szCs w:val="21"/>
                    </w:rPr>
                    <w:t>季节图表</w:t>
                  </w:r>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60</w:t>
                  </w:r>
                  <w:r>
                    <w:rPr>
                      <w:rFonts w:ascii="楷体" w:hAnsi="楷体" w:eastAsia="楷体"/>
                      <w:i/>
                      <w:color w:val="002060"/>
                    </w:rPr>
                    <w:fldChar w:fldCharType="end"/>
                  </w:r>
                  <w:r>
                    <w:rPr>
                      <w:rFonts w:hint="eastAsia" w:ascii="楷体" w:hAnsi="楷体" w:eastAsia="楷体"/>
                      <w:i/>
                      <w:color w:val="002060"/>
                    </w:rPr>
                    <w:t>：涤纶库存</w:t>
                  </w:r>
                  <w:r>
                    <w:rPr>
                      <w:rFonts w:ascii="楷体" w:hAnsi="楷体" w:eastAsia="楷体"/>
                      <w:i/>
                      <w:color w:val="002060"/>
                    </w:rPr>
                    <w:t>季节图表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1" o:spid="_x0000_s1085" type="#_x0000_t75" style="height:141.75pt;width:226.75pt;rotation:0f;" o:ole="f" fillcolor="#FFFFFF" filled="f" o:preferrelative="t" stroked="f" coordorigin="0,0" coordsize="21600,21600">
                        <v:fill on="f" color2="#FFFFFF" focus="0%"/>
                        <v:imagedata gain="65536f" blacklevel="0f" gamma="0" o:title="" r:id="rId68"/>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0" o:spid="_x0000_s1086" type="#_x0000_t75" style="height:141.75pt;width:226.75pt;rotation:0f;" o:ole="f" fillcolor="#FFFFFF" filled="f" o:preferrelative="t" stroked="f" coordorigin="0,0" coordsize="21600,21600">
                        <v:fill on="f" color2="#FFFFFF" focus="0%"/>
                        <v:imagedata gain="65536f" blacklevel="0f" gamma="0" o:title="" r:id="rId69"/>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ind w:left="2100" w:leftChars="1000" w:firstLine="420"/>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石脑油价格</w:t>
                  </w:r>
                  <w:r>
                    <w:rPr>
                      <w:rFonts w:ascii="楷体" w:hAnsi="楷体" w:eastAsia="楷体"/>
                      <w:i/>
                      <w:color w:val="002060"/>
                      <w:szCs w:val="21"/>
                    </w:rPr>
                    <w:t>与生产利润</w:t>
                  </w:r>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62</w:t>
                  </w:r>
                  <w:r>
                    <w:rPr>
                      <w:rFonts w:ascii="楷体" w:hAnsi="楷体" w:eastAsia="楷体"/>
                      <w:i/>
                      <w:color w:val="002060"/>
                    </w:rPr>
                    <w:fldChar w:fldCharType="end"/>
                  </w:r>
                  <w:r>
                    <w:rPr>
                      <w:rFonts w:hint="eastAsia" w:ascii="楷体" w:hAnsi="楷体" w:eastAsia="楷体"/>
                      <w:i/>
                      <w:color w:val="002060"/>
                    </w:rPr>
                    <w:t>：P</w:t>
                  </w:r>
                  <w:r>
                    <w:rPr>
                      <w:rFonts w:ascii="楷体" w:hAnsi="楷体" w:eastAsia="楷体"/>
                      <w:i/>
                      <w:color w:val="002060"/>
                    </w:rPr>
                    <w:t>X</w:t>
                  </w:r>
                  <w:r>
                    <w:rPr>
                      <w:rFonts w:hint="eastAsia" w:ascii="楷体" w:hAnsi="楷体" w:eastAsia="楷体"/>
                      <w:i/>
                      <w:color w:val="002060"/>
                    </w:rPr>
                    <w:t>价格</w:t>
                  </w:r>
                  <w:r>
                    <w:rPr>
                      <w:rFonts w:ascii="楷体" w:hAnsi="楷体" w:eastAsia="楷体"/>
                      <w:i/>
                      <w:color w:val="002060"/>
                    </w:rPr>
                    <w:t>与生产利润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15" o:spid="_x0000_s1087" type="#_x0000_t75" style="height:141.75pt;width:226.75pt;rotation:0f;" o:ole="f" fillcolor="#FFFFFF" filled="f" o:preferrelative="t" stroked="f" coordorigin="0,0" coordsize="21600,21600">
                        <v:fill on="f" color2="#FFFFFF" focus="0%"/>
                        <v:imagedata gain="65536f" blacklevel="0f" gamma="0" o:title="" r:id="rId70"/>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16" o:spid="_x0000_s1088" type="#_x0000_t75" style="height:141.75pt;width:226.75pt;rotation:0f;" o:ole="f" fillcolor="#FFFFFF" filled="f" o:preferrelative="t" stroked="f" coordorigin="0,0" coordsize="21600,21600">
                        <v:fill on="f" color2="#FFFFFF" focus="0%"/>
                        <v:imagedata gain="65536f" blacklevel="0f" gamma="0" o:title="" r:id="rId71"/>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ind w:left="2100" w:leftChars="1000" w:firstLine="420"/>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P</w:t>
                  </w:r>
                  <w:r>
                    <w:rPr>
                      <w:rFonts w:ascii="楷体" w:hAnsi="楷体" w:eastAsia="楷体"/>
                      <w:i/>
                      <w:color w:val="002060"/>
                      <w:szCs w:val="21"/>
                    </w:rPr>
                    <w:t>TA</w:t>
                  </w:r>
                  <w:r>
                    <w:rPr>
                      <w:rFonts w:hint="eastAsia" w:ascii="楷体" w:hAnsi="楷体" w:eastAsia="楷体"/>
                      <w:i/>
                      <w:color w:val="002060"/>
                      <w:szCs w:val="21"/>
                    </w:rPr>
                    <w:t>盘面</w:t>
                  </w:r>
                  <w:r>
                    <w:rPr>
                      <w:rFonts w:ascii="楷体" w:hAnsi="楷体" w:eastAsia="楷体"/>
                      <w:i/>
                      <w:color w:val="002060"/>
                      <w:szCs w:val="21"/>
                    </w:rPr>
                    <w:t>与现货</w:t>
                  </w:r>
                  <w:r>
                    <w:rPr>
                      <w:rFonts w:hint="eastAsia" w:ascii="楷体" w:hAnsi="楷体" w:eastAsia="楷体"/>
                      <w:i/>
                      <w:color w:val="002060"/>
                      <w:szCs w:val="21"/>
                    </w:rPr>
                    <w:t>加工费</w:t>
                  </w:r>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64</w:t>
                  </w:r>
                  <w:r>
                    <w:rPr>
                      <w:rFonts w:ascii="楷体" w:hAnsi="楷体" w:eastAsia="楷体"/>
                      <w:i/>
                      <w:color w:val="002060"/>
                    </w:rPr>
                    <w:fldChar w:fldCharType="end"/>
                  </w:r>
                  <w:r>
                    <w:rPr>
                      <w:rFonts w:hint="eastAsia" w:ascii="楷体" w:hAnsi="楷体" w:eastAsia="楷体"/>
                      <w:i/>
                      <w:color w:val="002060"/>
                    </w:rPr>
                    <w:t>：涤纶DTY价格</w:t>
                  </w:r>
                  <w:r>
                    <w:rPr>
                      <w:rFonts w:ascii="楷体" w:hAnsi="楷体" w:eastAsia="楷体"/>
                      <w:i/>
                      <w:color w:val="002060"/>
                    </w:rPr>
                    <w:t>与</w:t>
                  </w:r>
                  <w:r>
                    <w:rPr>
                      <w:rFonts w:hint="eastAsia" w:ascii="楷体" w:hAnsi="楷体" w:eastAsia="楷体"/>
                      <w:i/>
                      <w:color w:val="002060"/>
                    </w:rPr>
                    <w:t>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17" o:spid="_x0000_s1089" type="#_x0000_t75" style="height:141.75pt;width:226.75pt;rotation:0f;" o:ole="f" fillcolor="#FFFFFF" filled="f" o:preferrelative="t" stroked="f" coordorigin="0,0" coordsize="21600,21600">
                        <v:fill on="f" color2="#FFFFFF" focus="0%"/>
                        <v:imagedata gain="65536f" blacklevel="0f" gamma="0" o:title="" r:id="rId72"/>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18" o:spid="_x0000_s1090" type="#_x0000_t75" style="height:141.75pt;width:226.75pt;rotation:0f;" o:ole="f" fillcolor="#FFFFFF" filled="f" o:preferrelative="t" stroked="f" coordorigin="0,0" coordsize="21600,21600">
                        <v:fill on="f" color2="#FFFFFF" focus="0%"/>
                        <v:imagedata gain="65536f" blacklevel="0f" gamma="0" o:title="" r:id="rId73"/>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156" w:after="156" w:line="240" w:lineRule="exact"/>
        <w:ind w:left="2415" w:leftChars="1150"/>
        <w:rPr>
          <w:rFonts w:ascii="Calibri" w:hAnsi="Calibri" w:eastAsia="楷体" w:cs="Calibri"/>
        </w:rPr>
      </w:pPr>
      <w:r>
        <w:rPr>
          <w:rFonts w:ascii="Calibri" w:hAnsi="Calibri" w:eastAsia="楷体" w:cs="Calibri"/>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293" w:name="_Toc518221434"/>
      <w:r>
        <w:rPr>
          <w:rFonts w:hint="eastAsia" w:ascii="楷体" w:hAnsi="楷体" w:eastAsia="楷体" w:cs="黑体"/>
          <w:b/>
          <w:color w:val="C00000"/>
          <w:sz w:val="28"/>
          <w:szCs w:val="32"/>
        </w:rPr>
        <w:t>动力煤</w:t>
      </w:r>
      <w:bookmarkEnd w:id="293"/>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94" w:name="_Toc518221435"/>
      <w:r>
        <w:rPr>
          <w:rFonts w:hint="eastAsia" w:ascii="楷体" w:hAnsi="楷体" w:eastAsia="楷体" w:cs="黑体"/>
          <w:b/>
          <w:color w:val="C00000"/>
          <w:sz w:val="24"/>
          <w:szCs w:val="32"/>
        </w:rPr>
        <w:t>1 走势</w:t>
      </w:r>
      <w:r>
        <w:rPr>
          <w:rFonts w:ascii="楷体" w:hAnsi="楷体" w:eastAsia="楷体" w:cs="黑体"/>
          <w:b/>
          <w:color w:val="C00000"/>
          <w:sz w:val="24"/>
          <w:szCs w:val="32"/>
        </w:rPr>
        <w:t>回顾</w:t>
      </w:r>
      <w:bookmarkEnd w:id="294"/>
    </w:p>
    <w:p>
      <w:pPr>
        <w:spacing w:before="156" w:after="156" w:line="240" w:lineRule="exact"/>
        <w:ind w:left="2415" w:leftChars="1150"/>
        <w:rPr>
          <w:rFonts w:ascii="Calibri" w:hAnsi="Calibri" w:eastAsia="楷体" w:cs="Calibri"/>
        </w:rPr>
      </w:pPr>
      <w:r>
        <w:rPr>
          <w:rFonts w:hint="eastAsia" w:ascii="Calibri" w:hAnsi="Calibri" w:eastAsia="楷体" w:cs="Calibri"/>
        </w:rPr>
        <w:t>上周动力煤主力1</w:t>
      </w:r>
      <w:r>
        <w:rPr>
          <w:rFonts w:ascii="Calibri" w:hAnsi="Calibri" w:eastAsia="楷体" w:cs="Calibri"/>
        </w:rPr>
        <w:t>809</w:t>
      </w:r>
      <w:r>
        <w:rPr>
          <w:rFonts w:hint="eastAsia" w:ascii="Calibri" w:hAnsi="Calibri" w:eastAsia="楷体" w:cs="Calibri"/>
        </w:rPr>
        <w:t>合约于前两日小幅下跌，周四起反转拉升，并与周五收复前三天的下跌。上周单日成交量保持稳定，与周一相比，周五收盘持仓量略有下降，周五结算持仓3</w:t>
      </w:r>
      <w:r>
        <w:rPr>
          <w:rFonts w:ascii="Calibri" w:hAnsi="Calibri" w:eastAsia="楷体" w:cs="Calibri"/>
        </w:rPr>
        <w:t>68,438</w:t>
      </w:r>
      <w:r>
        <w:rPr>
          <w:rFonts w:hint="eastAsia" w:ascii="Calibri" w:hAnsi="Calibri" w:eastAsia="楷体" w:cs="Calibri"/>
        </w:rPr>
        <w:t>手。现货端，国内煤炭市场行情分化，港口动力煤价格走弱，坑口动力煤价格走强，产地港口价差逐步扩大。</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95" w:name="_Toc518221436"/>
      <w:r>
        <w:rPr>
          <w:rFonts w:hint="eastAsia" w:ascii="楷体" w:hAnsi="楷体" w:eastAsia="楷体" w:cs="黑体"/>
          <w:b/>
          <w:color w:val="C00000"/>
          <w:sz w:val="24"/>
          <w:szCs w:val="32"/>
        </w:rPr>
        <w:t>2 基本</w:t>
      </w:r>
      <w:r>
        <w:rPr>
          <w:rFonts w:ascii="楷体" w:hAnsi="楷体" w:eastAsia="楷体" w:cs="黑体"/>
          <w:b/>
          <w:color w:val="C00000"/>
          <w:sz w:val="24"/>
          <w:szCs w:val="32"/>
        </w:rPr>
        <w:t>面分析</w:t>
      </w:r>
      <w:bookmarkEnd w:id="295"/>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产地环保施压，坑口煤价保持坚挺</w:t>
      </w:r>
    </w:p>
    <w:p>
      <w:pPr>
        <w:spacing w:before="156" w:after="156" w:line="240" w:lineRule="exact"/>
        <w:ind w:left="2415" w:leftChars="1150"/>
        <w:rPr>
          <w:rFonts w:ascii="Calibri" w:hAnsi="Calibri" w:eastAsia="楷体" w:cs="Calibri"/>
        </w:rPr>
      </w:pPr>
      <w:r>
        <w:rPr>
          <w:rFonts w:hint="eastAsia" w:ascii="Calibri" w:hAnsi="Calibri" w:eastAsia="楷体" w:cs="Calibri"/>
        </w:rPr>
        <w:t>环保“回头看”一直是近期化工和黑色炒作的焦点，动力煤产地同样是环保督查重点检查的区域。上周，山西，陕西和内蒙古的动力煤主产区，环保督查，安全检查仍然继续，供应端持续受到限制，产地动力煤价格持续维持高位，重心不断上移。</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港口库存逼近高位，调入增加调出减少</w:t>
      </w:r>
    </w:p>
    <w:p>
      <w:pPr>
        <w:spacing w:before="156" w:after="156" w:line="240" w:lineRule="exact"/>
        <w:ind w:left="2415" w:leftChars="1150"/>
        <w:rPr>
          <w:rFonts w:ascii="Calibri" w:hAnsi="Calibri" w:eastAsia="楷体" w:cs="Calibri"/>
        </w:rPr>
      </w:pPr>
      <w:r>
        <w:rPr>
          <w:rFonts w:hint="eastAsia" w:ascii="Calibri" w:hAnsi="Calibri" w:eastAsia="楷体" w:cs="Calibri"/>
        </w:rPr>
        <w:t>产地环保维持高压状态，供给紧张，但是并未影响煤炭运输的顺畅。前日国家的保证煤炭供给的政策，使得主要煤炭运输通道运行通常，运转负荷明显高于第一季度。大秦线检修完毕之后，港口的铁路调入量一度处于高位。但是相比煤炭的大量调入，电厂高企的库存以及较高水平的煤价，使得港口的海运调出量小幅下降。南方电厂北上运煤的积极性降低使得北方港口库存持续上涨。截至6月2</w:t>
      </w:r>
      <w:r>
        <w:rPr>
          <w:rFonts w:ascii="Calibri" w:hAnsi="Calibri" w:eastAsia="楷体" w:cs="Calibri"/>
        </w:rPr>
        <w:t>9</w:t>
      </w:r>
      <w:r>
        <w:rPr>
          <w:rFonts w:hint="eastAsia" w:ascii="Calibri" w:hAnsi="Calibri" w:eastAsia="楷体" w:cs="Calibri"/>
        </w:rPr>
        <w:t>日，秦皇岛港库存逼近7</w:t>
      </w:r>
      <w:r>
        <w:rPr>
          <w:rFonts w:ascii="Calibri" w:hAnsi="Calibri" w:eastAsia="楷体" w:cs="Calibri"/>
        </w:rPr>
        <w:t>00</w:t>
      </w:r>
      <w:r>
        <w:rPr>
          <w:rFonts w:hint="eastAsia" w:ascii="Calibri" w:hAnsi="Calibri" w:eastAsia="楷体" w:cs="Calibri"/>
        </w:rPr>
        <w:t>万吨，接近两年的港口煤炭库存峰值。曹妃甸港库存达到4</w:t>
      </w:r>
      <w:r>
        <w:rPr>
          <w:rFonts w:ascii="Calibri" w:hAnsi="Calibri" w:eastAsia="楷体" w:cs="Calibri"/>
        </w:rPr>
        <w:t>60</w:t>
      </w:r>
      <w:r>
        <w:rPr>
          <w:rFonts w:hint="eastAsia" w:ascii="Calibri" w:hAnsi="Calibri" w:eastAsia="楷体" w:cs="Calibri"/>
        </w:rPr>
        <w:t>万吨，已经远远超出往年的最高水平，创下了库存新高。</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迎峰度夏承压，中部地区电力缺口较大</w:t>
      </w:r>
    </w:p>
    <w:p>
      <w:pPr>
        <w:spacing w:before="156" w:after="156" w:line="240" w:lineRule="exact"/>
        <w:ind w:left="2415" w:leftChars="1150"/>
        <w:rPr>
          <w:rFonts w:ascii="Calibri" w:hAnsi="Calibri" w:eastAsia="楷体" w:cs="Calibri"/>
        </w:rPr>
      </w:pPr>
      <w:r>
        <w:rPr>
          <w:rFonts w:hint="eastAsia" w:ascii="Calibri" w:hAnsi="Calibri" w:eastAsia="楷体" w:cs="Calibri"/>
        </w:rPr>
        <w:t>随着迎峰度夏的季节到来，电煤需求对于供给的压力较大。尽管5月份的发电数据显示，水电发电量有一定提升，但是整体的用电缺口依然较大。江淮地区和江南地区接连普降大雨，但是整体电网对于火电的发电依赖程度依然较高。近日国网湖北电力公司对外宣布，今年6、7月份，用电负荷远高于同期水平，将会出现较大的用电缺口。南方的持续高温或将使得整个南方电网的负荷继续增加，届时火电的发电压力将继续增大。</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供给侧去产能引致的高开工率将对电网继续施压</w:t>
      </w:r>
    </w:p>
    <w:p>
      <w:pPr>
        <w:spacing w:before="156" w:after="156" w:line="240" w:lineRule="exact"/>
        <w:ind w:left="2415" w:leftChars="1150"/>
        <w:rPr>
          <w:rFonts w:ascii="Calibri" w:hAnsi="Calibri" w:eastAsia="楷体" w:cs="Calibri"/>
        </w:rPr>
      </w:pPr>
      <w:r>
        <w:rPr>
          <w:rFonts w:hint="eastAsia" w:ascii="Calibri" w:hAnsi="Calibri" w:eastAsia="楷体" w:cs="Calibri"/>
        </w:rPr>
        <w:t>从5月份用电数据来看，各个产业部门的用电量均有较大幅度的提升。大范围的持续高温虽然增加了居民部门的用电量，但是工业部门的用电量的大幅增长，是近期用电增长的最大主因。数据上看，第三产业和城乡居民用电在1-</w:t>
      </w:r>
      <w:r>
        <w:rPr>
          <w:rFonts w:ascii="Calibri" w:hAnsi="Calibri" w:eastAsia="楷体" w:cs="Calibri"/>
        </w:rPr>
        <w:t>5</w:t>
      </w:r>
      <w:r>
        <w:rPr>
          <w:rFonts w:hint="eastAsia" w:ascii="Calibri" w:hAnsi="Calibri" w:eastAsia="楷体" w:cs="Calibri"/>
        </w:rPr>
        <w:t>月份增幅为2</w:t>
      </w:r>
      <w:r>
        <w:rPr>
          <w:rFonts w:ascii="Calibri" w:hAnsi="Calibri" w:eastAsia="楷体" w:cs="Calibri"/>
        </w:rPr>
        <w:t>0</w:t>
      </w:r>
      <w:r>
        <w:rPr>
          <w:rFonts w:hint="eastAsia" w:ascii="Calibri" w:hAnsi="Calibri" w:eastAsia="楷体" w:cs="Calibri"/>
        </w:rPr>
        <w:t>%左右，但是第二产业的用电量增幅达到了5</w:t>
      </w:r>
      <w:r>
        <w:rPr>
          <w:rFonts w:ascii="Calibri" w:hAnsi="Calibri" w:eastAsia="楷体" w:cs="Calibri"/>
        </w:rPr>
        <w:t>5</w:t>
      </w:r>
      <w:r>
        <w:rPr>
          <w:rFonts w:hint="eastAsia" w:ascii="Calibri" w:hAnsi="Calibri" w:eastAsia="楷体" w:cs="Calibri"/>
        </w:rPr>
        <w:t>%，达到了1</w:t>
      </w:r>
      <w:r>
        <w:rPr>
          <w:rFonts w:ascii="Calibri" w:hAnsi="Calibri" w:eastAsia="楷体" w:cs="Calibri"/>
        </w:rPr>
        <w:t>8</w:t>
      </w:r>
      <w:r>
        <w:rPr>
          <w:rFonts w:hint="eastAsia" w:ascii="Calibri" w:hAnsi="Calibri" w:eastAsia="楷体" w:cs="Calibri"/>
        </w:rPr>
        <w:t>,</w:t>
      </w:r>
      <w:r>
        <w:rPr>
          <w:rFonts w:ascii="Calibri" w:hAnsi="Calibri" w:eastAsia="楷体" w:cs="Calibri"/>
        </w:rPr>
        <w:t>259</w:t>
      </w:r>
      <w:r>
        <w:rPr>
          <w:rFonts w:hint="eastAsia" w:ascii="Calibri" w:hAnsi="Calibri" w:eastAsia="楷体" w:cs="Calibri"/>
        </w:rPr>
        <w:t>亿千瓦时。考虑到上半年整体火电装机量增速放缓，即便7、8月份工业用电较1-</w:t>
      </w:r>
      <w:r>
        <w:rPr>
          <w:rFonts w:ascii="Calibri" w:hAnsi="Calibri" w:eastAsia="楷体" w:cs="Calibri"/>
        </w:rPr>
        <w:t>5</w:t>
      </w:r>
      <w:r>
        <w:rPr>
          <w:rFonts w:hint="eastAsia" w:ascii="Calibri" w:hAnsi="Calibri" w:eastAsia="楷体" w:cs="Calibri"/>
        </w:rPr>
        <w:t>月份减少一半，整体电网的用电压力依然较大。</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96" w:name="_Toc518221437"/>
      <w:r>
        <w:rPr>
          <w:rFonts w:hint="eastAsia" w:ascii="楷体" w:hAnsi="楷体" w:eastAsia="楷体" w:cs="黑体"/>
          <w:b/>
          <w:color w:val="C00000"/>
          <w:sz w:val="24"/>
          <w:szCs w:val="32"/>
        </w:rPr>
        <w:t>3</w:t>
      </w:r>
      <w:r>
        <w:rPr>
          <w:rFonts w:ascii="楷体" w:hAnsi="楷体" w:eastAsia="楷体" w:cs="黑体"/>
          <w:b/>
          <w:color w:val="C00000"/>
          <w:sz w:val="24"/>
          <w:szCs w:val="32"/>
        </w:rPr>
        <w:t xml:space="preserve"> </w:t>
      </w:r>
      <w:r>
        <w:rPr>
          <w:rFonts w:hint="eastAsia" w:ascii="楷体" w:hAnsi="楷体" w:eastAsia="楷体" w:cs="黑体"/>
          <w:b/>
          <w:color w:val="C00000"/>
          <w:sz w:val="24"/>
          <w:szCs w:val="32"/>
        </w:rPr>
        <w:t>综合分析</w:t>
      </w:r>
      <w:bookmarkEnd w:id="296"/>
    </w:p>
    <w:p>
      <w:pPr>
        <w:spacing w:before="156" w:after="156" w:line="240" w:lineRule="exact"/>
        <w:ind w:left="2415" w:leftChars="1150"/>
        <w:rPr>
          <w:rFonts w:ascii="Calibri" w:hAnsi="Calibri" w:eastAsia="楷体" w:cs="Calibri"/>
        </w:rPr>
      </w:pPr>
      <w:r>
        <w:rPr>
          <w:rFonts w:hint="eastAsia" w:ascii="Calibri" w:hAnsi="Calibri" w:eastAsia="楷体" w:cs="Calibri"/>
        </w:rPr>
        <w:t>环保督查对坑口煤生产带来的价格重心上移和低库存，将持续传导至港口。电厂应对高企煤价的库存积累使得近期需求无法对煤价产生实质性的拉动。近期电厂日耗的增加会使得远期需求有所提振。基差持续贴水使得期货价格有一定上涨动能。近期供需因素博弈，现货价格处于供需平衡形成过程中，但是基差持续贴水会使得期货价格以震荡偏多为主，建议观望为主。套利方面关注1-</w:t>
      </w:r>
      <w:r>
        <w:rPr>
          <w:rFonts w:ascii="Calibri" w:hAnsi="Calibri" w:eastAsia="楷体" w:cs="Calibri"/>
        </w:rPr>
        <w:t>5</w:t>
      </w:r>
      <w:r>
        <w:rPr>
          <w:rFonts w:hint="eastAsia" w:ascii="Calibri" w:hAnsi="Calibri" w:eastAsia="楷体" w:cs="Calibri"/>
        </w:rPr>
        <w:t>正套机会。</w:t>
      </w:r>
      <w:r>
        <w:rPr>
          <w:rFonts w:ascii="Calibri" w:hAnsi="Calibri" w:eastAsia="楷体" w:cs="Calibri"/>
        </w:rPr>
        <w:br w:type="page"/>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97" w:name="_Toc518221438"/>
      <w:r>
        <w:rPr>
          <w:rFonts w:ascii="楷体" w:hAnsi="楷体" w:eastAsia="楷体" w:cs="黑体"/>
          <w:b/>
          <w:color w:val="C00000"/>
          <w:sz w:val="24"/>
          <w:szCs w:val="32"/>
        </w:rPr>
        <w:t>4</w:t>
      </w:r>
      <w:r>
        <w:rPr>
          <w:rFonts w:hint="eastAsia" w:ascii="楷体" w:hAnsi="楷体" w:eastAsia="楷体" w:cs="黑体"/>
          <w:b/>
          <w:color w:val="C00000"/>
          <w:sz w:val="24"/>
          <w:szCs w:val="32"/>
        </w:rPr>
        <w:t xml:space="preserve"> 期现货</w:t>
      </w:r>
      <w:r>
        <w:rPr>
          <w:rFonts w:ascii="楷体" w:hAnsi="楷体" w:eastAsia="楷体" w:cs="黑体"/>
          <w:b/>
          <w:color w:val="C00000"/>
          <w:sz w:val="24"/>
          <w:szCs w:val="32"/>
        </w:rPr>
        <w:t>数据</w:t>
      </w:r>
      <w:bookmarkEnd w:id="297"/>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65</w:t>
                  </w:r>
                  <w:r>
                    <w:rPr>
                      <w:rFonts w:ascii="楷体" w:hAnsi="楷体" w:eastAsia="楷体"/>
                      <w:i/>
                      <w:color w:val="002060"/>
                    </w:rPr>
                    <w:fldChar w:fldCharType="end"/>
                  </w:r>
                  <w:r>
                    <w:rPr>
                      <w:rFonts w:hint="eastAsia" w:ascii="楷体" w:hAnsi="楷体" w:eastAsia="楷体"/>
                      <w:i/>
                      <w:color w:val="002060"/>
                    </w:rPr>
                    <w:t>：坑口港口煤价走势</w:t>
                  </w:r>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66</w:t>
                  </w:r>
                  <w:r>
                    <w:rPr>
                      <w:rFonts w:ascii="楷体" w:hAnsi="楷体" w:eastAsia="楷体"/>
                      <w:i/>
                      <w:color w:val="002060"/>
                    </w:rPr>
                    <w:fldChar w:fldCharType="end"/>
                  </w:r>
                  <w:r>
                    <w:rPr>
                      <w:rFonts w:hint="eastAsia" w:ascii="楷体" w:hAnsi="楷体" w:eastAsia="楷体"/>
                      <w:i/>
                      <w:color w:val="002060"/>
                    </w:rPr>
                    <w:t>：动力煤基差走势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3" o:spid="_x0000_s1091" type="#_x0000_t75" style="height:141.75pt;width:226.75pt;rotation:0f;" o:ole="f" fillcolor="#FFFFFF" filled="f" o:preferrelative="t" stroked="f" coordorigin="0,0" coordsize="21600,21600">
                        <v:fill on="f" color2="#FFFFFF" focus="0%"/>
                        <v:imagedata gain="65536f" blacklevel="0f" gamma="0" o:title="" r:id="rId74"/>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6" o:spid="_x0000_s1092" type="#_x0000_t75" style="height:141.75pt;width:226.75pt;rotation:0f;" o:ole="f" fillcolor="#FFFFFF" filled="f" o:preferrelative="t" stroked="f" coordorigin="0,0" coordsize="21600,21600">
                        <v:fill on="f" color2="#FFFFFF" focus="0%"/>
                        <v:imagedata gain="65536f" blacklevel="0f" gamma="0" o:title="" r:id="rId75"/>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ind w:left="2100" w:leftChars="1000" w:firstLine="420"/>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67</w:t>
                  </w:r>
                  <w:r>
                    <w:rPr>
                      <w:rFonts w:ascii="楷体" w:hAnsi="楷体" w:eastAsia="楷体"/>
                      <w:i/>
                      <w:color w:val="002060"/>
                    </w:rPr>
                    <w:fldChar w:fldCharType="end"/>
                  </w:r>
                  <w:r>
                    <w:rPr>
                      <w:rFonts w:hint="eastAsia" w:ascii="楷体" w:hAnsi="楷体" w:eastAsia="楷体"/>
                      <w:i/>
                      <w:color w:val="002060"/>
                    </w:rPr>
                    <w:t>：电厂库存与可用天数</w:t>
                  </w:r>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68</w:t>
                  </w:r>
                  <w:r>
                    <w:rPr>
                      <w:rFonts w:ascii="楷体" w:hAnsi="楷体" w:eastAsia="楷体"/>
                      <w:i/>
                      <w:color w:val="002060"/>
                    </w:rPr>
                    <w:fldChar w:fldCharType="end"/>
                  </w:r>
                  <w:r>
                    <w:rPr>
                      <w:rFonts w:hint="eastAsia" w:ascii="楷体" w:hAnsi="楷体" w:eastAsia="楷体"/>
                      <w:i/>
                      <w:color w:val="002060"/>
                    </w:rPr>
                    <w:t>：北方港口煤炭库存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7" o:spid="_x0000_s1093" type="#_x0000_t75" style="height:141.75pt;width:226.75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8" o:spid="_x0000_s1094" type="#_x0000_t75" style="height:141.75pt;width:226.75pt;rotation:0f;" o:ole="f" fillcolor="#FFFFFF" filled="f" o:preferrelative="t" stroked="f" coordorigin="0,0" coordsize="21600,21600">
                        <v:fill on="f" color2="#FFFFFF" focus="0%"/>
                        <v:imagedata gain="65536f" blacklevel="0f" gamma="0" o:title="" r:id="rId77"/>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ind w:left="2100" w:leftChars="1000" w:firstLine="420"/>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69</w:t>
                  </w:r>
                  <w:r>
                    <w:rPr>
                      <w:rFonts w:ascii="楷体" w:hAnsi="楷体" w:eastAsia="楷体"/>
                      <w:i/>
                      <w:color w:val="002060"/>
                    </w:rPr>
                    <w:fldChar w:fldCharType="end"/>
                  </w:r>
                  <w:r>
                    <w:rPr>
                      <w:rFonts w:hint="eastAsia" w:ascii="楷体" w:hAnsi="楷体" w:eastAsia="楷体"/>
                      <w:i/>
                      <w:color w:val="002060"/>
                    </w:rPr>
                    <w:t>：港口煤炭调入调出</w:t>
                  </w:r>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70</w:t>
                  </w:r>
                  <w:r>
                    <w:rPr>
                      <w:rFonts w:ascii="楷体" w:hAnsi="楷体" w:eastAsia="楷体"/>
                      <w:i/>
                      <w:color w:val="002060"/>
                    </w:rPr>
                    <w:fldChar w:fldCharType="end"/>
                  </w:r>
                  <w:r>
                    <w:rPr>
                      <w:rFonts w:hint="eastAsia" w:ascii="楷体" w:hAnsi="楷体" w:eastAsia="楷体"/>
                      <w:i/>
                      <w:color w:val="002060"/>
                    </w:rPr>
                    <w:t>：煤炭运价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14" o:spid="_x0000_s1095" type="#_x0000_t75" style="height:141.75pt;width:226.75pt;rotation:0f;" o:ole="f" fillcolor="#FFFFFF" filled="f" o:preferrelative="t" stroked="f" coordorigin="0,0" coordsize="21600,21600">
                        <v:fill on="f" color2="#FFFFFF" focus="0%"/>
                        <v:imagedata gain="65536f" blacklevel="0f" gamma="0" o:title="" r:id="rId78"/>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19" o:spid="_x0000_s1096" type="#_x0000_t75" style="height:141.75pt;width:226.75pt;rotation:0f;" o:ole="f" fillcolor="#FFFFFF" filled="f" o:preferrelative="t" stroked="f" coordorigin="0,0" coordsize="21600,21600">
                        <v:fill on="f" color2="#FFFFFF" focus="0%"/>
                        <v:imagedata gain="65536f" blacklevel="0f" gamma="0" o:title="" r:id="rId79"/>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ind w:left="2100" w:leftChars="1000" w:firstLine="420"/>
        <w:rPr>
          <w:rFonts w:ascii="宋体" w:hAnsi="宋体" w:eastAsia="宋体"/>
          <w:sz w:val="20"/>
        </w:rPr>
      </w:pPr>
    </w:p>
    <w:p>
      <w:pPr>
        <w:spacing w:before="156" w:after="156" w:line="240" w:lineRule="exact"/>
        <w:ind w:left="2415" w:leftChars="1150"/>
        <w:rPr>
          <w:rFonts w:ascii="Calibri" w:hAnsi="Calibri" w:eastAsia="楷体" w:cs="Calibri"/>
        </w:rPr>
      </w:pPr>
      <w:r>
        <w:rPr>
          <w:rFonts w:ascii="Calibri" w:hAnsi="Calibri" w:eastAsia="楷体" w:cs="Calibri"/>
        </w:rPr>
        <w:br w:type="page"/>
      </w:r>
    </w:p>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298" w:name="_Toc518221439"/>
      <w:r>
        <w:rPr>
          <w:rFonts w:hint="eastAsia" w:ascii="楷体" w:hAnsi="楷体" w:eastAsia="楷体" w:cs="黑体"/>
          <w:b/>
          <w:color w:val="C00000"/>
          <w:sz w:val="28"/>
          <w:szCs w:val="32"/>
        </w:rPr>
        <w:t>油脂油料：贸易战模式重启，豆类市场外弱内强分化明显</w:t>
      </w:r>
      <w:bookmarkEnd w:id="298"/>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299" w:name="_Toc518221440"/>
      <w:bookmarkStart w:id="300" w:name="_Toc513394797"/>
      <w:bookmarkStart w:id="301" w:name="_Toc513901760"/>
      <w:r>
        <w:rPr>
          <w:rFonts w:ascii="楷体" w:hAnsi="楷体" w:eastAsia="楷体" w:cs="黑体"/>
          <w:b/>
          <w:color w:val="C00000"/>
          <w:sz w:val="24"/>
          <w:szCs w:val="32"/>
        </w:rPr>
        <w:t>1</w:t>
      </w:r>
      <w:r>
        <w:rPr>
          <w:rFonts w:hint="eastAsia" w:ascii="楷体" w:hAnsi="楷体" w:eastAsia="楷体" w:cs="黑体"/>
          <w:b/>
          <w:color w:val="C00000"/>
          <w:sz w:val="24"/>
          <w:szCs w:val="32"/>
        </w:rPr>
        <w:t xml:space="preserve"> 外部豆类市场分析</w:t>
      </w:r>
      <w:bookmarkEnd w:id="299"/>
      <w:bookmarkEnd w:id="300"/>
      <w:bookmarkEnd w:id="301"/>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中美贸易战与报告利空预期相叠加，美豆跌势不止连续下探</w:t>
      </w:r>
    </w:p>
    <w:p>
      <w:pPr>
        <w:spacing w:before="156" w:after="156" w:line="240" w:lineRule="exact"/>
        <w:ind w:left="2415" w:leftChars="1150"/>
        <w:rPr>
          <w:rFonts w:ascii="Calibri" w:hAnsi="Calibri" w:eastAsia="楷体" w:cs="Calibri"/>
        </w:rPr>
      </w:pPr>
      <w:r>
        <w:rPr>
          <w:rFonts w:hint="eastAsia" w:ascii="Calibri" w:hAnsi="Calibri" w:eastAsia="楷体" w:cs="Calibri"/>
        </w:rPr>
        <w:t>本周，中美双方贸易紧张关系仍在持续。无论是中国政府首次发布《中国与世界贸易组织》白皮书支持多边贸易体制，还是商务部宣布对印度、韩国等6国进口大豆施行零关税措施，一系列举措表明中国已经做好全面应对美国发起贸易战的准备。随着7月6日的临近，各方对中美双方实施加税措施的预期持续升温。除来自政策层面的利空影响外，本月底美国农业部发布的两个重要报告也无法为市场带来利多提振。市场预期2018年美国大豆播种面积将达到8969.1万英亩，基本与2017年播种面积持平，高于3月份预估的8898.2万英亩。该数据将成为后期市场评估美豆产量的基础，历来对美豆行情影响较大，6月1日大豆平均库存为12.25亿蒲式耳，为历史同期最高水平。上年美豆实现高产，对华出口大幅下降是导致美豆库存升高的重要原因。因此，本周美豆市场在多重利空因素影响下重新走弱，令美豆的下跌状态持续深化。</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美豆优良率为历史同期最高，生长关键期炒作概率继续下降</w:t>
      </w:r>
    </w:p>
    <w:p>
      <w:pPr>
        <w:spacing w:before="156" w:after="156" w:line="240" w:lineRule="exact"/>
        <w:ind w:left="2415" w:leftChars="1150"/>
        <w:rPr>
          <w:rFonts w:ascii="Calibri" w:hAnsi="Calibri" w:eastAsia="楷体" w:cs="Calibri"/>
        </w:rPr>
      </w:pPr>
      <w:r>
        <w:rPr>
          <w:rFonts w:hint="eastAsia" w:ascii="Calibri" w:hAnsi="Calibri" w:eastAsia="楷体" w:cs="Calibri"/>
        </w:rPr>
        <w:t>美国农业部本周发布的大豆作物生长报告显示，截止6月24日当周，美豆出苗率为95%，去年同期为93%，五年均值为89%；开花率为12%，去年同期为8%，五年均值为5%。本周美豆优良率继续保持在73%，处于历史同期最高水平。美豆多项生长指标处于完美状态，不断提振未来产量前景。天气预报显示美豆作物区雨水充足，有利于大豆生长，并进一步降低7、8月份大豆生长关键期减产炒作的概率。CFTC公布的持仓报告显示，截止6月19日当周，大型投机客大幅增持CBOT大豆期货期权净空头寸40948手，致使总净空头寸增至52390手，显示资金对美豆后市走向存有较强空头预期。</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302" w:name="_Toc518221441"/>
      <w:bookmarkStart w:id="303" w:name="_Toc513394798"/>
      <w:bookmarkStart w:id="304" w:name="_Toc513901761"/>
      <w:r>
        <w:rPr>
          <w:rFonts w:ascii="楷体" w:hAnsi="楷体" w:eastAsia="楷体" w:cs="黑体"/>
          <w:b/>
          <w:color w:val="C00000"/>
          <w:sz w:val="24"/>
          <w:szCs w:val="32"/>
        </w:rPr>
        <w:t xml:space="preserve">2 </w:t>
      </w:r>
      <w:r>
        <w:rPr>
          <w:rFonts w:hint="eastAsia" w:ascii="楷体" w:hAnsi="楷体" w:eastAsia="楷体" w:cs="黑体"/>
          <w:b/>
          <w:color w:val="C00000"/>
          <w:sz w:val="24"/>
          <w:szCs w:val="32"/>
        </w:rPr>
        <w:t>国内油脂油料市场分析</w:t>
      </w:r>
      <w:bookmarkEnd w:id="302"/>
      <w:bookmarkEnd w:id="303"/>
      <w:bookmarkEnd w:id="304"/>
    </w:p>
    <w:p>
      <w:pPr>
        <w:spacing w:before="156" w:after="0" w:afterLines="0" w:line="240" w:lineRule="exact"/>
        <w:ind w:left="2415" w:leftChars="1150"/>
        <w:rPr>
          <w:rFonts w:ascii="Calibri" w:hAnsi="Calibri" w:eastAsia="楷体" w:cs="Calibri"/>
        </w:rPr>
      </w:pPr>
      <w:r>
        <w:rPr>
          <w:rFonts w:hint="eastAsia" w:ascii="Calibri" w:hAnsi="Calibri" w:eastAsia="楷体" w:cs="Calibri"/>
        </w:rPr>
        <w:t>本周国内豆粕现货市场持续回暖，震荡回升。贸易战避险情绪以及人民币兑美元汇率下挫提高大豆进口成本，油厂顺势主动挺价意愿增强。截止周五，连云港报价为3010元/吨，天津报价为3000元/吨，华南沿海报价3030元/吨，周度涨幅在50-70元/吨。国内沿海油厂开工率维持高位，下游需求入市采购相对谨慎，豆粕库存保持高企局面。</w:t>
      </w:r>
    </w:p>
    <w:p>
      <w:pPr>
        <w:spacing w:before="156" w:after="0" w:afterLines="0" w:line="240" w:lineRule="exact"/>
        <w:ind w:left="2415" w:leftChars="1150"/>
        <w:rPr>
          <w:rFonts w:ascii="Calibri" w:hAnsi="Calibri" w:eastAsia="楷体" w:cs="Calibri"/>
        </w:rPr>
      </w:pPr>
      <w:r>
        <w:rPr>
          <w:rFonts w:hint="eastAsia" w:ascii="Calibri" w:hAnsi="Calibri" w:eastAsia="楷体" w:cs="Calibri"/>
        </w:rPr>
        <w:t>截止6月21日，2017/18年度美国对中国大豆出口装船量为2735.3万吨，低于上年度同期的3436.3玩万吨，降幅为20.4%。近期受中美贸易战冲击，中国进口商取消美豆订单数量不断增加。巴西6月份装往中国的大豆数量预计为800-820万吨，远高于去年同期的572万吨。目前中国买家的四季度大豆采购订单完成量不足两成，巴西大豆很能继续支撑中国市场四季度供应，届时中国市场的需求缺口将不得不转向美豆。日前，中国政府宣布对印度、韩国等国家实施大豆进口零关税措施。由于这些国家对华出口大豆十分有限，此次零关税措施更多是做给美国看，短期对市场影响不大，同时也传递出中国主动调整大豆进口结构应对美国挑起的贸易战，并可能刺激这些国家未来扩大大豆种植规模，增加对华大豆出口量。</w:t>
      </w:r>
    </w:p>
    <w:p>
      <w:pPr>
        <w:spacing w:before="156" w:after="0" w:afterLines="0" w:line="240" w:lineRule="exact"/>
        <w:ind w:left="2415" w:leftChars="1150"/>
        <w:rPr>
          <w:rFonts w:ascii="Calibri" w:hAnsi="Calibri" w:eastAsia="楷体" w:cs="Calibri"/>
        </w:rPr>
      </w:pPr>
      <w:r>
        <w:rPr>
          <w:rFonts w:hint="eastAsia" w:ascii="Calibri" w:hAnsi="Calibri" w:eastAsia="楷体" w:cs="Calibri"/>
        </w:rPr>
        <w:t>本周国产大豆现货市场维持稳定走势，供需平稳，价格窄幅波动。主产区多地降雨充沛，旱情解除，大豆作物生长状态较佳。本周50万吨临储大豆继续投拍，拍卖成交率由上周的25.38%下降到21.38%，成交均价为3007.66元/吨。除因拍卖大豆为2013年陈豆外，国内市场不缺大豆也是造成临储大豆拍卖成交率偏低的主要原因。国内豆油库存延续升势，截止6月25日，我国主要港口豆油库存为109万吨，高于去年同期水平。由于豆油市场长时间弱势运行，价格中的泡沫成分明显偏低，近期受到成本因素以及国际原油价格大涨而表现较为抗跌，但由于豆油自身供大于需的基本状况难以扭转，豆油价格反弹不具有持续性，粕强油弱仍是豆类市场运行的主旋律。截止周五，国内四级豆油报价多运行在5450元/吨附近，周度上涨50元/吨左右，华南地区报价保持平稳，继续在5350元/吨附近运行。马来西亚棕榈油由于受到减产预期和货币贬值等因素提振本周触底回升，并带动国内棕榈油表现强于其他油脂。</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305" w:name="_Toc513394799"/>
      <w:bookmarkStart w:id="306" w:name="_Toc513901762"/>
      <w:bookmarkStart w:id="307" w:name="_Toc518221442"/>
      <w:r>
        <w:rPr>
          <w:rFonts w:ascii="楷体" w:hAnsi="楷体" w:eastAsia="楷体" w:cs="黑体"/>
          <w:b/>
          <w:color w:val="C00000"/>
          <w:sz w:val="24"/>
          <w:szCs w:val="32"/>
        </w:rPr>
        <w:t>3</w:t>
      </w:r>
      <w:r>
        <w:rPr>
          <w:rFonts w:hint="eastAsia" w:ascii="楷体" w:hAnsi="楷体" w:eastAsia="楷体" w:cs="黑体"/>
          <w:b/>
          <w:color w:val="C00000"/>
          <w:sz w:val="24"/>
          <w:szCs w:val="32"/>
        </w:rPr>
        <w:t xml:space="preserve"> 油脂油料市场操作建议</w:t>
      </w:r>
      <w:bookmarkEnd w:id="305"/>
      <w:bookmarkEnd w:id="306"/>
      <w:bookmarkEnd w:id="307"/>
    </w:p>
    <w:p>
      <w:pPr>
        <w:spacing w:before="156" w:after="156" w:line="240" w:lineRule="exact"/>
        <w:ind w:left="2415" w:leftChars="1150"/>
        <w:rPr>
          <w:rFonts w:ascii="Calibri" w:hAnsi="Calibri" w:eastAsia="楷体" w:cs="Calibri"/>
        </w:rPr>
      </w:pPr>
      <w:r>
        <w:rPr>
          <w:rFonts w:hint="eastAsia" w:ascii="Calibri" w:hAnsi="Calibri" w:eastAsia="楷体" w:cs="Calibri"/>
        </w:rPr>
        <w:t>美豆市场本轮持续下跌，其主导因素是中美贸易关系紧张可能导致美豆对华出口受限，美豆乐观的产量前景起到了加剧市场看空的作用。目前距离美豆形成产量的7、8月份关键期尚有时日，无法排除资金会利用天气题材发动炒作行情。市场普遍对中美贸易战最终爆发感到担忧，下周的美豆市场很可能继续保持弱势等待加征关税实锤落下。虽然美豆价格持续走低将部分抵消因提高关税导致的进口成本增加，但美豆对中国市场价格劣势十分明显。目前10月美湾大豆到中国港口的价格为3800元/吨，而明年2月到港的巴西大豆价格为3200元/吨。因此，一旦进口美豆被加征关税，国内大豆进口成本和豆粕生产成本都会明显提升，自然会导致国内豆粕价格抗跌甚至大幅反弹。如果美豆不想因提税失去中国市场，只能以下跌的方式同南美大豆建立新的价格平衡。7月6日前国内外豆类市场有望延续内强外弱的运行特征，尽管贸易战预期强烈，但受国内需求限制，国内豆粕和豆油的提价难度同样不小。与此同时，中国政府随时可能出台应对贸易战的举措，并影响到豆粕市场的看涨情绪。饲料需求企业和贸易商可以适当增加豆粕库存，期货投资者可以保持震荡思路适量建立大豆和粕类多单，油脂市场反弹潜力不足，可继续观望或盘中短线快进快出。</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308" w:name="_Toc513901759"/>
      <w:bookmarkStart w:id="309" w:name="_Toc518221443"/>
      <w:bookmarkStart w:id="310" w:name="_Toc511513020"/>
      <w:bookmarkStart w:id="311" w:name="_Toc511581226"/>
      <w:bookmarkStart w:id="312" w:name="_Toc512165424"/>
      <w:bookmarkStart w:id="313" w:name="_Toc513394796"/>
      <w:bookmarkStart w:id="314" w:name="_Toc511512908"/>
      <w:r>
        <w:rPr>
          <w:rFonts w:ascii="楷体" w:hAnsi="楷体" w:eastAsia="楷体" w:cs="黑体"/>
          <w:b/>
          <w:color w:val="C00000"/>
          <w:sz w:val="24"/>
          <w:szCs w:val="32"/>
        </w:rPr>
        <w:t>4</w:t>
      </w:r>
      <w:r>
        <w:rPr>
          <w:rFonts w:hint="eastAsia" w:ascii="楷体" w:hAnsi="楷体" w:eastAsia="楷体" w:cs="黑体"/>
          <w:b/>
          <w:color w:val="C00000"/>
          <w:sz w:val="24"/>
          <w:szCs w:val="32"/>
        </w:rPr>
        <w:t xml:space="preserve"> 油脂油料市场主要数据</w:t>
      </w:r>
      <w:bookmarkEnd w:id="308"/>
      <w:bookmarkEnd w:id="309"/>
      <w:bookmarkEnd w:id="310"/>
      <w:bookmarkEnd w:id="311"/>
      <w:bookmarkEnd w:id="312"/>
      <w:bookmarkEnd w:id="313"/>
      <w:bookmarkEnd w:id="314"/>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315" w:name="_Toc513836743"/>
                  <w:bookmarkStart w:id="316" w:name="_Toc51383667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美国大豆种植收获面积</w:t>
                  </w:r>
                  <w:bookmarkEnd w:id="315"/>
                  <w:bookmarkEnd w:id="316"/>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317" w:name="_Toc513836673"/>
                  <w:bookmarkStart w:id="318" w:name="_Toc51383674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72</w:t>
                  </w:r>
                  <w:r>
                    <w:rPr>
                      <w:rFonts w:ascii="楷体" w:hAnsi="楷体" w:eastAsia="楷体"/>
                      <w:i/>
                      <w:color w:val="002060"/>
                    </w:rPr>
                    <w:fldChar w:fldCharType="end"/>
                  </w:r>
                  <w:r>
                    <w:rPr>
                      <w:rFonts w:hint="eastAsia" w:ascii="楷体" w:hAnsi="楷体" w:eastAsia="楷体"/>
                      <w:i/>
                      <w:color w:val="002060"/>
                    </w:rPr>
                    <w:t>：国内生猪存栏量</w:t>
                  </w:r>
                  <w:bookmarkEnd w:id="317"/>
                  <w:bookmarkEnd w:id="31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0" o:spid="_x0000_s1097" type="#_x0000_t75" style="height:141.75pt;width:226.75pt;rotation:0f;" o:ole="f" fillcolor="#FFFFFF" filled="f" o:preferrelative="t" stroked="f" coordorigin="0,0" coordsize="21600,21600">
                        <v:fill on="f" color2="#FFFFFF" focus="0%"/>
                        <v:imagedata gain="65536f" blacklevel="0f" gamma="0" o:title="" r:id="rId80"/>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1" o:spid="_x0000_s1098" type="#_x0000_t75" style="height:141.75pt;width:226.75pt;rotation:0f;" o:ole="f" fillcolor="#FFFFFF" filled="f" o:preferrelative="t" stroked="f" coordorigin="0,0" coordsize="21600,21600">
                        <v:fill on="f" color2="#FFFFFF" focus="0%"/>
                        <v:imagedata gain="65536f" blacklevel="0f" gamma="0" o:title="" r:id="rId81"/>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319" w:name="_Toc513836745"/>
                  <w:bookmarkStart w:id="320" w:name="_Toc51383667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大豆进口数量</w:t>
                  </w:r>
                  <w:bookmarkEnd w:id="319"/>
                  <w:bookmarkEnd w:id="320"/>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321" w:name="_Toc513836675"/>
                  <w:bookmarkStart w:id="322" w:name="_Toc51383674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74</w:t>
                  </w:r>
                  <w:r>
                    <w:rPr>
                      <w:rFonts w:ascii="楷体" w:hAnsi="楷体" w:eastAsia="楷体"/>
                      <w:i/>
                      <w:color w:val="002060"/>
                    </w:rPr>
                    <w:fldChar w:fldCharType="end"/>
                  </w:r>
                  <w:r>
                    <w:rPr>
                      <w:rFonts w:hint="eastAsia" w:ascii="楷体" w:hAnsi="楷体" w:eastAsia="楷体"/>
                      <w:i/>
                      <w:color w:val="002060"/>
                    </w:rPr>
                    <w:t>：国内豆粕库存</w:t>
                  </w:r>
                  <w:bookmarkEnd w:id="321"/>
                  <w:bookmarkEnd w:id="3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2" o:spid="_x0000_s1099" type="#_x0000_t75" style="height:141.75pt;width:226.75pt;rotation:0f;" o:ole="f" fillcolor="#FFFFFF" filled="f" o:preferrelative="t" stroked="f" coordorigin="0,0" coordsize="21600,21600">
                        <v:fill on="f" color2="#FFFFFF" focus="0%"/>
                        <v:imagedata gain="65536f" blacklevel="0f" gamma="0" o:title="" r:id="rId82"/>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3" o:spid="_x0000_s1100" type="#_x0000_t75" style="height:141.75pt;width:226.75pt;rotation:0f;" o:ole="f" fillcolor="#FFFFFF" filled="f" o:preferrelative="t" stroked="f" coordorigin="0,0" coordsize="21600,21600">
                        <v:fill on="f" color2="#FFFFFF" focus="0%"/>
                        <v:imagedata gain="65536f" blacklevel="0f" gamma="0" o:title="" r:id="rId83"/>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156" w:after="156" w:line="240" w:lineRule="exact"/>
        <w:ind w:left="2415" w:leftChars="1150"/>
        <w:rPr>
          <w:rFonts w:ascii="Times New Roman" w:hAnsi="Times New Roman"/>
          <w:sz w:val="18"/>
        </w:rPr>
      </w:pPr>
      <w:r>
        <w:rPr>
          <w:rFonts w:ascii="Times New Roman" w:hAnsi="Times New Roman"/>
          <w:sz w:val="18"/>
        </w:rPr>
        <w:br w:type="page"/>
      </w:r>
    </w:p>
    <w:bookmarkEnd w:id="287"/>
    <w:p>
      <w:pPr>
        <w:widowControl/>
        <w:spacing w:before="312" w:beforeLines="100" w:after="312" w:afterLines="100"/>
        <w:ind w:left="2415" w:leftChars="1150"/>
        <w:jc w:val="left"/>
        <w:outlineLvl w:val="0"/>
        <w:rPr>
          <w:rFonts w:ascii="楷体" w:hAnsi="楷体" w:eastAsia="楷体" w:cs="黑体"/>
          <w:b/>
          <w:color w:val="C00000"/>
          <w:sz w:val="28"/>
          <w:szCs w:val="32"/>
        </w:rPr>
      </w:pPr>
      <w:bookmarkStart w:id="323" w:name="_Toc470447737"/>
      <w:bookmarkStart w:id="324" w:name="_Toc486192779"/>
      <w:bookmarkStart w:id="325" w:name="_Toc511512912"/>
      <w:bookmarkStart w:id="326" w:name="_Toc511513024"/>
      <w:bookmarkStart w:id="327" w:name="_Toc511581230"/>
      <w:bookmarkStart w:id="328" w:name="_Toc513394800"/>
      <w:bookmarkStart w:id="329" w:name="_Toc513901763"/>
      <w:bookmarkStart w:id="330" w:name="_Toc518221444"/>
      <w:r>
        <w:rPr>
          <w:rFonts w:ascii="楷体" w:hAnsi="楷体" w:eastAsia="楷体" w:cs="黑体"/>
          <w:b/>
          <w:color w:val="C00000"/>
          <w:sz w:val="28"/>
          <w:szCs w:val="32"/>
        </w:rPr>
        <w:t>白糖</w:t>
      </w:r>
      <w:bookmarkEnd w:id="323"/>
      <w:bookmarkEnd w:id="324"/>
      <w:bookmarkEnd w:id="325"/>
      <w:bookmarkEnd w:id="326"/>
      <w:bookmarkEnd w:id="327"/>
      <w:bookmarkEnd w:id="328"/>
      <w:bookmarkEnd w:id="329"/>
      <w:bookmarkEnd w:id="330"/>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331" w:name="_Toc513394802"/>
      <w:bookmarkStart w:id="332" w:name="_Toc513901764"/>
      <w:bookmarkStart w:id="333" w:name="_Toc518221445"/>
      <w:r>
        <w:rPr>
          <w:rFonts w:ascii="楷体" w:hAnsi="楷体" w:eastAsia="楷体" w:cs="黑体"/>
          <w:b/>
          <w:color w:val="C00000"/>
          <w:sz w:val="24"/>
          <w:szCs w:val="32"/>
        </w:rPr>
        <w:t xml:space="preserve">1 </w:t>
      </w:r>
      <w:r>
        <w:rPr>
          <w:rFonts w:hint="eastAsia" w:ascii="楷体" w:hAnsi="楷体" w:eastAsia="楷体" w:cs="黑体"/>
          <w:b/>
          <w:color w:val="C00000"/>
          <w:sz w:val="24"/>
          <w:szCs w:val="32"/>
        </w:rPr>
        <w:t>白糖市场供求分析</w:t>
      </w:r>
      <w:bookmarkEnd w:id="331"/>
      <w:bookmarkEnd w:id="332"/>
      <w:bookmarkEnd w:id="333"/>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国际糖供应严重过剩1051万吨</w:t>
      </w:r>
    </w:p>
    <w:p>
      <w:pPr>
        <w:spacing w:before="156" w:after="156" w:line="240" w:lineRule="exact"/>
        <w:ind w:left="2415" w:leftChars="1150"/>
        <w:rPr>
          <w:rFonts w:ascii="Calibri" w:hAnsi="Calibri" w:eastAsia="楷体" w:cs="Calibri"/>
        </w:rPr>
      </w:pPr>
      <w:r>
        <w:rPr>
          <w:rFonts w:hint="eastAsia" w:ascii="Calibri" w:hAnsi="Calibri" w:eastAsia="楷体" w:cs="Calibri"/>
        </w:rPr>
        <w:t>囯际糖业组织(ISO)预计，全球2017/18年度（10月-次年9月）糖供应过剩规模达1,051万吨，远超之前预测的515万吨。ISO发布季度报告称，“2月份以来，统计方面的情况下越来越清晰，也越来越令人担忧。本年度后半段全球糖业已经帯来了一些意外，基本面情况严重恶化。”　据ISO估计，2016/17年度全球糖供应缺口在367万吨。</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印度下季度种植面积仍然增加，产量增长</w:t>
      </w:r>
    </w:p>
    <w:p>
      <w:pPr>
        <w:spacing w:before="156" w:after="156" w:line="240" w:lineRule="exact"/>
        <w:ind w:left="2415" w:leftChars="1150"/>
        <w:rPr>
          <w:rFonts w:ascii="Calibri" w:hAnsi="Calibri" w:eastAsia="楷体" w:cs="Calibri"/>
        </w:rPr>
      </w:pPr>
      <w:r>
        <w:rPr>
          <w:rFonts w:hint="eastAsia" w:ascii="Calibri" w:hAnsi="Calibri" w:eastAsia="楷体" w:cs="Calibri"/>
        </w:rPr>
        <w:t>印度下一市场年度糖产量有望创纪录高位，尽管糖厂本年度积欠的蔗款高达2,000亿卢比（29.6亿美元），且糖价低迷，农民仍愿意种植甘蔗。 今年种植了两亩甘蔗的蔗农Mohan Sawant表示，下一市场年度（10月1日开始）仍会继续种甘蔗，因为收益高于小麦等其他作物品种。Sawant说，甘蔗的收益更高，我愿意等待（糖厂支付）蔗款，而不是种植其他收益较低的作物。”行业官员及贸易商称，农户坚持种植甘蔗或令下一市场年度糖产量创新高。尽管目前预测产量还为时过早，但产量有望超过本年度的纪录高位3,200万吨。业内官员称，为降低糖库存并提振国内价格，印度政府强制糖厂3月份出口200万吨糖，但由于海外价格更低，目前尚未大量发运。孟买糖商协会（BSMA）主席Ashok Jain表示，下一年度库存将继续攀升，需要在政府帮助下加速出口。其并称，下一年度之初的结转库存可能高达1100万吨。</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巴西中南部：6月上半月糖产量同比减少17.2%</w:t>
      </w:r>
    </w:p>
    <w:p>
      <w:pPr>
        <w:spacing w:before="156" w:after="156" w:line="240" w:lineRule="exact"/>
        <w:ind w:left="2415" w:leftChars="1150"/>
        <w:rPr>
          <w:rFonts w:ascii="Calibri" w:hAnsi="Calibri" w:eastAsia="楷体" w:cs="Calibri"/>
        </w:rPr>
      </w:pPr>
      <w:r>
        <w:rPr>
          <w:rFonts w:hint="eastAsia" w:ascii="Calibri" w:hAnsi="Calibri" w:eastAsia="楷体" w:cs="Calibri"/>
        </w:rPr>
        <w:t>行业机构Unica公布的数据显示，巴西中南部地区糖厂6月上半月甘蔗压榨量高于去年同期。6月上半月，中南部地区糖厂压榨了4200万吨甘蔗，较去年同期増长6.4% ，生产了200万吨糖，较去年同期减少17.2% ，产出21亿升乙醇，较去年同期增长42.2%。本月上半月，36.5%的甘蔗用于生产糖，63.5%的甘蔗用于生产乙醇。去年同期49.4%的甘蔗用于生产糖，50.6%的甘蔗用于生产乙醇。巴西是全球最大的食糖生产国和出口国，中南部地区甘蔗产量约占全国总产量的90%。在4月1日至6月16日期间，该地区糖厂压榨了1.77亿吨甘蔗，比去年同期增长16.7%。食糖产量下降 7.8%至750万吨，乙醇产量增长50%至87亿升。本榨季截至6月16日，中南部地区用于生产糖及乙醇的甘蔗比例为35%和65% ，去年同期分别为46.3%和53.7%.</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澳大利亚：2018/19榨季糖产量预计同比增2.8%</w:t>
      </w:r>
    </w:p>
    <w:p>
      <w:pPr>
        <w:spacing w:before="156" w:after="156" w:line="240" w:lineRule="exact"/>
        <w:ind w:left="2415" w:leftChars="1150"/>
        <w:rPr>
          <w:rFonts w:ascii="Calibri" w:hAnsi="Calibri" w:eastAsia="楷体" w:cs="Calibri"/>
        </w:rPr>
      </w:pPr>
      <w:r>
        <w:rPr>
          <w:rFonts w:hint="eastAsia" w:ascii="Calibri" w:hAnsi="Calibri" w:eastAsia="楷体" w:cs="Calibri"/>
        </w:rPr>
        <w:t>据澳大利亚农业和资源经济与科学局（ABARES）六月份的季度预测，2018/19榨季澳大利亚糖产量或同比增加2.8%，达到483万吨；甘蔗收割面积预计扩大1.3%，达到38.5万公顷；单产预计同比持平为88.2吨/公顷，甘蔗产量或从17/18榨季的3350万吨微幅增加至3394.1万吨。低糖价、土地资源竞争以及甘蔗主产区昆士兰农户改种其他作物共同导致澳大利亚甘蔗种植受限。</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泰国增产45%</w:t>
      </w:r>
    </w:p>
    <w:p>
      <w:pPr>
        <w:spacing w:before="156" w:after="156" w:line="240" w:lineRule="exact"/>
        <w:ind w:left="2415" w:leftChars="1150"/>
        <w:rPr>
          <w:rFonts w:ascii="Calibri" w:hAnsi="Calibri" w:eastAsia="楷体" w:cs="Calibri"/>
        </w:rPr>
      </w:pPr>
      <w:r>
        <w:rPr>
          <w:rFonts w:hint="eastAsia" w:ascii="Calibri" w:hAnsi="Calibri" w:eastAsia="楷体" w:cs="Calibri"/>
        </w:rPr>
        <w:t>泰国最后一家糖厂已于6月5日结束压榨，2017/18榨季泰国共54家糖厂开榨，累计压榨甘蔗1.349亿吨，产糖1468万吨，同比增加46%。</w:t>
      </w:r>
    </w:p>
    <w:p>
      <w:pPr>
        <w:spacing w:before="312" w:beforeLines="100" w:after="312" w:afterLines="100" w:line="240" w:lineRule="exact"/>
        <w:ind w:left="2415" w:leftChars="1150"/>
        <w:outlineLvl w:val="2"/>
        <w:rPr>
          <w:rFonts w:ascii="Calibri" w:hAnsi="Calibri" w:eastAsia="楷体" w:cs="Calibri"/>
          <w:color w:val="002060"/>
        </w:rPr>
      </w:pPr>
      <w:r>
        <w:rPr>
          <w:rFonts w:hint="eastAsia" w:ascii="Calibri" w:hAnsi="Calibri" w:eastAsia="楷体" w:cs="Calibri"/>
          <w:color w:val="002060"/>
        </w:rPr>
        <w:t>国内食糖产量为1030.63万吨</w:t>
      </w:r>
    </w:p>
    <w:p>
      <w:pPr>
        <w:spacing w:before="156" w:after="156" w:line="240" w:lineRule="exact"/>
        <w:ind w:left="2415" w:leftChars="1150"/>
        <w:rPr>
          <w:rFonts w:ascii="Calibri" w:hAnsi="Calibri" w:eastAsia="楷体" w:cs="Calibri"/>
        </w:rPr>
      </w:pPr>
      <w:r>
        <w:rPr>
          <w:rFonts w:hint="eastAsia" w:ascii="Calibri" w:hAnsi="Calibri" w:eastAsia="楷体" w:cs="Calibri"/>
        </w:rPr>
        <w:t>截至2018年5月底，本制糖期全国共生产食糖1030.63万吨（上制糖期同期产糖928.78万吨），比上制糖期同期多产糖101.85万吨，其中，产甘蔗糖915.66万吨（上制糖期同期产甘蔗糖824.07万吨）；产甜菜糖114.97万吨（上制糖期同期产甜菜糖104.71万吨）。今年食糖销售进度缓慢，工业库存压力较大。</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334" w:name="_Toc518221446"/>
      <w:r>
        <w:rPr>
          <w:rFonts w:hint="eastAsia" w:ascii="楷体" w:hAnsi="楷体" w:eastAsia="楷体" w:cs="黑体"/>
          <w:b/>
          <w:color w:val="C00000"/>
          <w:sz w:val="24"/>
          <w:szCs w:val="32"/>
        </w:rPr>
        <w:t>2 综合分析</w:t>
      </w:r>
      <w:bookmarkEnd w:id="334"/>
    </w:p>
    <w:p>
      <w:pPr>
        <w:spacing w:before="156" w:after="156" w:line="240" w:lineRule="exact"/>
        <w:ind w:left="2415" w:leftChars="1150"/>
        <w:rPr>
          <w:rFonts w:ascii="Calibri" w:hAnsi="Calibri" w:eastAsia="楷体" w:cs="Calibri"/>
        </w:rPr>
      </w:pPr>
      <w:r>
        <w:rPr>
          <w:rFonts w:hint="eastAsia" w:ascii="Calibri" w:hAnsi="Calibri" w:eastAsia="楷体" w:cs="Calibri"/>
        </w:rPr>
        <w:t>各大产糖国产量剧增，消费疲软，目前依然处于高库存的状态。预计未来国际糖依然保持弱势，再创价格新低可能性比较大。国际糖市供应严重过剩。供应端，全球主要产糖国都维持高产。泰国和印度产量增长较快，后市非常悲观。消费端，国内和国外比较平稳。供应增量将主导糖市价格。</w:t>
      </w:r>
    </w:p>
    <w:p>
      <w:pPr>
        <w:spacing w:before="156" w:after="156" w:line="240" w:lineRule="exact"/>
        <w:ind w:left="2415" w:leftChars="1150"/>
        <w:rPr>
          <w:rFonts w:ascii="Calibri" w:hAnsi="Calibri" w:eastAsia="楷体" w:cs="Calibri"/>
        </w:rPr>
      </w:pPr>
      <w:r>
        <w:rPr>
          <w:rFonts w:hint="eastAsia" w:ascii="Calibri" w:hAnsi="Calibri" w:eastAsia="楷体" w:cs="Calibri"/>
        </w:rPr>
        <w:t>巴西国内的甘蔗压榨比率下降，而国际原油受伊朗核协议影响，仍有上涨空间。燃料价格上涨，最终给糖带来支撑。国际原糖仍然过剩，长期熊市不改。</w:t>
      </w:r>
    </w:p>
    <w:p>
      <w:pPr>
        <w:spacing w:before="156" w:after="156" w:line="240" w:lineRule="exact"/>
        <w:ind w:left="2415" w:leftChars="1150"/>
        <w:rPr>
          <w:rFonts w:ascii="Calibri" w:hAnsi="Calibri" w:eastAsia="楷体" w:cs="Calibri"/>
        </w:rPr>
      </w:pPr>
      <w:r>
        <w:rPr>
          <w:rFonts w:hint="eastAsia" w:ascii="Calibri" w:hAnsi="Calibri" w:eastAsia="楷体" w:cs="Calibri"/>
        </w:rPr>
        <w:t>总体上看，全球食糖供需在2017/18制糖年将坚定不移的迈向供给过剩，供给过剩导致原糖期价将长期处于弱势行情之中，每一次反弹都是做空的好机会。</w:t>
      </w:r>
    </w:p>
    <w:p>
      <w:pPr>
        <w:spacing w:before="156" w:after="156" w:line="240" w:lineRule="exact"/>
        <w:ind w:left="2415" w:leftChars="1150"/>
        <w:rPr>
          <w:rFonts w:ascii="Calibri" w:hAnsi="Calibri" w:eastAsia="楷体" w:cs="Calibri"/>
        </w:rPr>
      </w:pPr>
      <w:r>
        <w:rPr>
          <w:rFonts w:hint="eastAsia" w:ascii="Calibri" w:hAnsi="Calibri" w:eastAsia="楷体" w:cs="Calibri"/>
        </w:rPr>
        <w:t>操作上，国内现货依然坚挺，但成交情况较差，后期sr901有望跌破4900，前期空单继续持有，逢高沽空。</w:t>
      </w:r>
    </w:p>
    <w:p>
      <w:pPr>
        <w:widowControl/>
        <w:spacing w:before="312" w:beforeLines="100" w:after="312" w:afterLines="100" w:line="360" w:lineRule="exact"/>
        <w:ind w:left="2415" w:leftChars="1150"/>
        <w:jc w:val="left"/>
        <w:outlineLvl w:val="1"/>
        <w:rPr>
          <w:rFonts w:ascii="楷体" w:hAnsi="楷体" w:eastAsia="楷体" w:cs="黑体"/>
          <w:b/>
          <w:color w:val="C00000"/>
          <w:sz w:val="24"/>
          <w:szCs w:val="32"/>
        </w:rPr>
      </w:pPr>
      <w:bookmarkStart w:id="335" w:name="_Toc470447738"/>
      <w:bookmarkStart w:id="336" w:name="_Toc486192780"/>
      <w:bookmarkStart w:id="337" w:name="_Toc511512913"/>
      <w:bookmarkStart w:id="338" w:name="_Toc511513025"/>
      <w:bookmarkStart w:id="339" w:name="_Toc511581231"/>
      <w:bookmarkStart w:id="340" w:name="_Toc513394801"/>
      <w:bookmarkStart w:id="341" w:name="_Toc513901766"/>
      <w:bookmarkStart w:id="342" w:name="_Toc518221447"/>
      <w:r>
        <w:rPr>
          <w:rFonts w:ascii="楷体" w:hAnsi="楷体" w:eastAsia="楷体" w:cs="黑体"/>
          <w:b/>
          <w:color w:val="C00000"/>
          <w:sz w:val="24"/>
          <w:szCs w:val="32"/>
        </w:rPr>
        <w:t>3 白糖市场主要数据</w:t>
      </w:r>
      <w:bookmarkEnd w:id="335"/>
      <w:bookmarkEnd w:id="336"/>
      <w:bookmarkEnd w:id="337"/>
      <w:bookmarkEnd w:id="338"/>
      <w:bookmarkEnd w:id="339"/>
      <w:bookmarkEnd w:id="340"/>
      <w:bookmarkEnd w:id="341"/>
      <w:bookmarkEnd w:id="342"/>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343" w:name="_Toc513836747"/>
                  <w:bookmarkStart w:id="344" w:name="_Toc51383667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75</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白糖期货结算价格</w:t>
                  </w:r>
                  <w:bookmarkEnd w:id="343"/>
                  <w:bookmarkEnd w:id="344"/>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345" w:name="_Toc513836677"/>
                  <w:bookmarkStart w:id="346" w:name="_Toc51383674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76</w:t>
                  </w:r>
                  <w:r>
                    <w:rPr>
                      <w:rFonts w:ascii="楷体" w:hAnsi="楷体" w:eastAsia="楷体"/>
                      <w:i/>
                      <w:color w:val="002060"/>
                    </w:rPr>
                    <w:fldChar w:fldCharType="end"/>
                  </w:r>
                  <w:r>
                    <w:rPr>
                      <w:rFonts w:hint="eastAsia" w:ascii="楷体" w:hAnsi="楷体" w:eastAsia="楷体"/>
                      <w:i/>
                      <w:color w:val="002060"/>
                    </w:rPr>
                    <w:t>：白糖进口价格</w:t>
                  </w:r>
                  <w:bookmarkEnd w:id="345"/>
                  <w:bookmarkEnd w:id="3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4" o:spid="_x0000_s1101" type="#_x0000_t75" style="height:141.75pt;width:226.75pt;rotation:0f;" o:ole="f" fillcolor="#FFFFFF" filled="f" o:preferrelative="t" stroked="f" coordorigin="0,0" coordsize="21600,21600">
                        <v:fill on="f" color2="#FFFFFF" focus="0%"/>
                        <v:imagedata gain="65536f" blacklevel="0f" gamma="0" o:title="" r:id="rId84"/>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5" o:spid="_x0000_s1102" type="#_x0000_t75" style="height:141.75pt;width:226.75pt;rotation:0f;" o:ole="f" fillcolor="#FFFFFF" filled="f" o:preferrelative="t" stroked="f" coordorigin="0,0" coordsize="21600,21600">
                        <v:fill on="f" color2="#FFFFFF" focus="0%"/>
                        <v:imagedata gain="65536f" blacklevel="0f" gamma="0" o:title="" r:id="rId85"/>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347" w:name="_Toc513836678"/>
                  <w:bookmarkStart w:id="348" w:name="_Toc51383674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白糖仓单预报</w:t>
                  </w:r>
                  <w:bookmarkEnd w:id="347"/>
                  <w:bookmarkEnd w:id="348"/>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349" w:name="_Toc513836679"/>
                  <w:bookmarkStart w:id="350" w:name="_Toc51383675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78</w:t>
                  </w:r>
                  <w:r>
                    <w:rPr>
                      <w:rFonts w:ascii="楷体" w:hAnsi="楷体" w:eastAsia="楷体"/>
                      <w:i/>
                      <w:color w:val="002060"/>
                    </w:rPr>
                    <w:fldChar w:fldCharType="end"/>
                  </w:r>
                  <w:r>
                    <w:rPr>
                      <w:rFonts w:hint="eastAsia" w:ascii="楷体" w:hAnsi="楷体" w:eastAsia="楷体"/>
                      <w:i/>
                      <w:color w:val="002060"/>
                    </w:rPr>
                    <w:t>：白糖销糖率</w:t>
                  </w:r>
                  <w:bookmarkEnd w:id="349"/>
                  <w:bookmarkEnd w:id="3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6" o:spid="_x0000_s1103" type="#_x0000_t75" style="height:141.75pt;width:226.75pt;rotation:0f;" o:ole="f" fillcolor="#FFFFFF" filled="f" o:preferrelative="t" stroked="f" coordorigin="0,0" coordsize="21600,21600">
                        <v:fill on="f" color2="#FFFFFF" focus="0%"/>
                        <v:imagedata gain="65536f" blacklevel="0f" gamma="0" o:title="" r:id="rId86"/>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7" o:spid="_x0000_s1104" type="#_x0000_t75" style="height:141.75pt;width:226.75pt;rotation:0f;" o:ole="f" fillcolor="#FFFFFF" filled="f" o:preferrelative="t" stroked="f" coordorigin="0,0" coordsize="21600,21600">
                        <v:fill on="f" color2="#FFFFFF" focus="0%"/>
                        <v:imagedata gain="65536f" blacklevel="0f" gamma="0" o:title="" r:id="rId87"/>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0" w:beforeLines="0" w:after="0" w:afterLines="0" w:line="100" w:lineRule="exact"/>
        <w:rPr>
          <w:rFonts w:ascii="宋体" w:hAnsi="宋体" w:eastAsia="宋体"/>
          <w:sz w:val="20"/>
        </w:rPr>
      </w:pPr>
    </w:p>
    <w:tbl>
      <w:tblPr>
        <w:tblStyle w:val="30"/>
        <w:tblW w:w="10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351" w:name="_Toc513836680"/>
                  <w:bookmarkStart w:id="352" w:name="_Toc51383675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白糖月度进口量</w:t>
                  </w:r>
                  <w:bookmarkEnd w:id="351"/>
                  <w:bookmarkEnd w:id="352"/>
                </w:p>
              </w:tc>
              <w:tc>
                <w:tcPr>
                  <w:tcW w:w="222" w:type="dxa"/>
                  <w:vAlign w:val="center"/>
                </w:tcPr>
                <w:p>
                  <w:pPr>
                    <w:spacing w:before="0" w:beforeLines="0" w:after="0" w:afterLines="0"/>
                    <w:jc w:val="center"/>
                    <w:rPr>
                      <w:rFonts w:ascii="宋体" w:hAnsi="宋体" w:eastAsia="宋体"/>
                      <w:sz w:val="20"/>
                    </w:rPr>
                  </w:pPr>
                </w:p>
              </w:tc>
              <w:tc>
                <w:tcPr>
                  <w:tcW w:w="5014" w:type="dxa"/>
                  <w:tcBorders>
                    <w:bottom w:val="single" w:color="002060" w:sz="6" w:space="0"/>
                  </w:tcBorders>
                  <w:vAlign w:val="center"/>
                </w:tcPr>
                <w:p>
                  <w:pPr>
                    <w:keepNext/>
                    <w:spacing w:before="0" w:beforeLines="0" w:after="0" w:afterLines="0"/>
                    <w:jc w:val="left"/>
                    <w:rPr>
                      <w:rFonts w:ascii="宋体" w:hAnsi="宋体" w:eastAsia="宋体"/>
                      <w:i/>
                      <w:sz w:val="20"/>
                    </w:rPr>
                  </w:pPr>
                  <w:bookmarkStart w:id="353" w:name="_Toc513836681"/>
                  <w:bookmarkStart w:id="354" w:name="_Toc51383675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80</w:t>
                  </w:r>
                  <w:r>
                    <w:rPr>
                      <w:rFonts w:ascii="楷体" w:hAnsi="楷体" w:eastAsia="楷体"/>
                      <w:i/>
                      <w:color w:val="002060"/>
                    </w:rPr>
                    <w:fldChar w:fldCharType="end"/>
                  </w:r>
                  <w:r>
                    <w:rPr>
                      <w:rFonts w:hint="eastAsia" w:ascii="楷体" w:hAnsi="楷体" w:eastAsia="楷体"/>
                      <w:i/>
                      <w:color w:val="002060"/>
                    </w:rPr>
                    <w:t>：原糖CFTC持仓</w:t>
                  </w:r>
                  <w:bookmarkEnd w:id="353"/>
                  <w:bookmarkEnd w:id="3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8" o:spid="_x0000_s1105" type="#_x0000_t75" style="height:141.75pt;width:226.75pt;rotation:0f;" o:ole="f" fillcolor="#FFFFFF" filled="f" o:preferrelative="t" stroked="f" coordorigin="0,0" coordsize="21600,21600">
                        <v:fill on="f" color2="#FFFFFF" focus="0%"/>
                        <v:imagedata gain="65536f" blacklevel="0f" gamma="0" o:title="" r:id="rId88"/>
                        <o:lock v:ext="edit" position="f" selection="f" grouping="f" rotation="f" cropping="f" text="f" aspectratio="t"/>
                        <w10:wrap type="none"/>
                        <w10:anchorlock/>
                      </v:shape>
                    </w:pict>
                  </w:r>
                </w:p>
              </w:tc>
              <w:tc>
                <w:tcPr>
                  <w:tcW w:w="222" w:type="dxa"/>
                  <w:vAlign w:val="center"/>
                </w:tcPr>
                <w:p>
                  <w:pPr>
                    <w:spacing w:before="156" w:after="156" w:line="360" w:lineRule="auto"/>
                    <w:jc w:val="center"/>
                    <w:rPr>
                      <w:rFonts w:ascii="宋体" w:hAnsi="宋体" w:eastAsia="宋体"/>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宋体" w:hAnsi="宋体" w:eastAsia="宋体"/>
                      <w:sz w:val="20"/>
                    </w:rPr>
                  </w:pPr>
                  <w:r>
                    <w:rPr>
                      <w:rFonts w:ascii="Calibri" w:hAnsi="Calibri" w:eastAsia="宋体" w:cs="Times New Roman"/>
                      <w:kern w:val="2"/>
                      <w:sz w:val="21"/>
                      <w:szCs w:val="22"/>
                      <w:lang w:val="en-US" w:eastAsia="zh-CN" w:bidi="ar-SA"/>
                    </w:rPr>
                    <w:pict>
                      <v:shape id="图表 259" o:spid="_x0000_s1106" type="#_x0000_t75" style="height:141.75pt;width:226.75pt;rotation:0f;" o:ole="f" fillcolor="#FFFFFF" filled="f" o:preferrelative="t" stroked="f" coordorigin="0,0" coordsize="21600,21600">
                        <v:fill on="f" color2="#FFFFFF" focus="0%"/>
                        <v:imagedata gain="65536f" blacklevel="0f" gamma="0" o:title="" r:id="rId89"/>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宋体" w:hAnsi="宋体" w:eastAsia="宋体"/>
                      <w:sz w:val="20"/>
                    </w:rPr>
                  </w:pPr>
                </w:p>
              </w:tc>
              <w:tc>
                <w:tcPr>
                  <w:tcW w:w="5014" w:type="dxa"/>
                  <w:tcBorders>
                    <w:top w:val="single" w:color="002060" w:sz="6" w:space="0"/>
                  </w:tcBorders>
                  <w:vAlign w:val="center"/>
                </w:tcPr>
                <w:p>
                  <w:pPr>
                    <w:spacing w:before="0" w:beforeLines="0" w:after="0" w:afterLines="0"/>
                    <w:jc w:val="left"/>
                    <w:rPr>
                      <w:rFonts w:ascii="宋体" w:hAnsi="宋体" w:eastAsia="宋体"/>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宋体" w:hAnsi="宋体" w:eastAsia="宋体"/>
                <w:sz w:val="20"/>
              </w:rPr>
            </w:pPr>
          </w:p>
        </w:tc>
      </w:tr>
    </w:tbl>
    <w:p>
      <w:pPr>
        <w:spacing w:before="156" w:after="156" w:line="360" w:lineRule="auto"/>
        <w:ind w:left="2100" w:leftChars="1000" w:firstLine="420"/>
        <w:rPr>
          <w:rFonts w:ascii="宋体" w:hAnsi="宋体" w:eastAsia="宋体"/>
        </w:rPr>
      </w:pPr>
      <w:r>
        <w:rPr>
          <w:rFonts w:ascii="宋体" w:hAnsi="宋体" w:eastAsia="宋体"/>
        </w:rPr>
        <w:br w:type="page"/>
      </w:r>
    </w:p>
    <w:bookmarkEnd w:id="5"/>
    <w:p>
      <w:pPr>
        <w:pStyle w:val="2"/>
        <w:spacing w:before="156" w:beforeLines="50" w:after="156" w:afterLines="50"/>
        <w:rPr>
          <w:rFonts w:ascii="楷体" w:hAnsi="楷体" w:eastAsia="楷体"/>
        </w:rPr>
      </w:pPr>
      <w:bookmarkStart w:id="355" w:name="_Toc511512916"/>
      <w:bookmarkStart w:id="356" w:name="_Toc511513028"/>
      <w:bookmarkStart w:id="357" w:name="_Toc511581234"/>
      <w:bookmarkStart w:id="358" w:name="_Toc513394804"/>
      <w:bookmarkStart w:id="359" w:name="_Toc513901767"/>
      <w:bookmarkStart w:id="360" w:name="_Toc518221448"/>
      <w:r>
        <w:rPr>
          <w:rFonts w:ascii="楷体" w:hAnsi="楷体" w:eastAsia="楷体"/>
        </w:rPr>
        <w:t>免责条款</w:t>
      </w:r>
      <w:bookmarkEnd w:id="355"/>
      <w:bookmarkEnd w:id="356"/>
      <w:bookmarkEnd w:id="357"/>
      <w:bookmarkEnd w:id="358"/>
      <w:bookmarkEnd w:id="359"/>
      <w:bookmarkEnd w:id="360"/>
    </w:p>
    <w:p>
      <w:pPr>
        <w:spacing w:before="156" w:after="156" w:line="240" w:lineRule="exact"/>
        <w:ind w:firstLine="420"/>
        <w:jc w:val="left"/>
        <w:rPr>
          <w:rFonts w:ascii="楷体" w:hAnsi="楷体" w:eastAsia="楷体"/>
          <w:szCs w:val="21"/>
        </w:rPr>
      </w:pPr>
      <w:r>
        <w:rPr>
          <w:rFonts w:ascii="楷体" w:hAnsi="楷体" w:eastAsia="楷体"/>
          <w:szCs w:val="21"/>
        </w:rPr>
        <w:t>本报告由中投天琪期货有限公司（以下简称“中投期货”）提供，旨为派发给本公司客户及特定对象使用。未经中投期货事先书面同意，不得以任何方式复印、传送、转发或出版作任何用途。合法取得本报告的途径为本公司网站及本公司授权的渠道，由公司授权机构承担相关刊载或转发责任，非通过以上渠道获得的报告均为非法，我公司不承担任何法律责任。</w:t>
      </w:r>
    </w:p>
    <w:p>
      <w:pPr>
        <w:spacing w:before="156" w:after="156" w:line="240" w:lineRule="exact"/>
        <w:ind w:firstLine="420"/>
        <w:jc w:val="left"/>
        <w:rPr>
          <w:rFonts w:ascii="楷体" w:hAnsi="楷体" w:eastAsia="楷体"/>
          <w:szCs w:val="21"/>
        </w:rPr>
      </w:pPr>
      <w:r>
        <w:rPr>
          <w:rFonts w:ascii="楷体" w:hAnsi="楷体" w:eastAsia="楷体"/>
          <w:szCs w:val="21"/>
        </w:rPr>
        <w:t>本报告基于中投期货认为可靠的公开信息和资料，但我们对这些信息的准确性和完整性均不作任何保证。中投期货可随时更改报告中的内容、意见和预测，且并不承诺提供任何有关变更的通知。</w:t>
      </w:r>
    </w:p>
    <w:p>
      <w:pPr>
        <w:spacing w:before="156" w:after="156" w:line="240" w:lineRule="exact"/>
        <w:ind w:firstLine="420"/>
        <w:jc w:val="left"/>
        <w:rPr>
          <w:rFonts w:ascii="楷体" w:hAnsi="楷体" w:eastAsia="楷体"/>
          <w:szCs w:val="21"/>
        </w:rPr>
      </w:pPr>
      <w:r>
        <w:rPr>
          <w:rFonts w:ascii="楷体" w:hAnsi="楷体" w:eastAsia="楷体"/>
          <w:szCs w:val="21"/>
        </w:rPr>
        <w:t>本报告中的内容和意见仅供参考，并不构成对所述证券、期货的买卖出价。投资者应根据个人投资目标、财务状况和需求来判断是否使用报告所载之内容，独立做出投资决策并自行承担相应风险。我公司及其雇员不对使用本报告而引致的任何直接或间接损失负任何责任。</w:t>
      </w: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pBdr>
          <w:bottom w:val="single" w:color="auto" w:sz="6" w:space="1"/>
        </w:pBdr>
        <w:autoSpaceDE w:val="0"/>
        <w:autoSpaceDN w:val="0"/>
        <w:adjustRightInd w:val="0"/>
        <w:spacing w:before="156" w:after="156"/>
        <w:jc w:val="left"/>
        <w:rPr>
          <w:rFonts w:ascii="微软雅黑" w:hAnsi="微软雅黑" w:eastAsia="微软雅黑"/>
          <w:b/>
          <w:kern w:val="0"/>
          <w:sz w:val="18"/>
          <w:szCs w:val="18"/>
        </w:rPr>
      </w:pPr>
      <w:r>
        <w:rPr>
          <w:rFonts w:ascii="微软雅黑" w:hAnsi="微软雅黑" w:eastAsia="微软雅黑"/>
          <w:b/>
          <w:color w:val="002060"/>
          <w:kern w:val="0"/>
          <w:sz w:val="36"/>
          <w:szCs w:val="36"/>
        </w:rPr>
        <w:t>中投天琪期货有限公司</w:t>
      </w:r>
    </w:p>
    <w:p>
      <w:pPr>
        <w:autoSpaceDE w:val="0"/>
        <w:autoSpaceDN w:val="0"/>
        <w:adjustRightInd w:val="0"/>
        <w:spacing w:before="156" w:after="156"/>
        <w:jc w:val="left"/>
        <w:rPr>
          <w:rFonts w:ascii="Calibri" w:hAnsi="Calibri" w:eastAsia="楷体" w:cs="Calibri"/>
          <w:kern w:val="0"/>
          <w:szCs w:val="21"/>
        </w:rPr>
      </w:pPr>
      <w:r>
        <w:rPr>
          <w:rFonts w:ascii="Calibri" w:hAnsi="Calibri" w:eastAsia="楷体" w:cs="Calibri"/>
          <w:kern w:val="0"/>
          <w:szCs w:val="21"/>
        </w:rPr>
        <w:t>公司网站:http://www.tqfutures.com/</w:t>
      </w:r>
    </w:p>
    <w:p>
      <w:pPr>
        <w:autoSpaceDE w:val="0"/>
        <w:autoSpaceDN w:val="0"/>
        <w:adjustRightInd w:val="0"/>
        <w:spacing w:before="156" w:after="156"/>
        <w:jc w:val="left"/>
        <w:rPr>
          <w:rFonts w:ascii="Calibri" w:hAnsi="Calibri" w:eastAsia="楷体" w:cs="Calibri"/>
          <w:kern w:val="0"/>
          <w:szCs w:val="21"/>
        </w:rPr>
      </w:pPr>
      <w:r>
        <w:rPr>
          <w:rFonts w:ascii="Calibri" w:hAnsi="Calibri" w:eastAsia="楷体" w:cs="Calibri"/>
          <w:kern w:val="0"/>
          <w:szCs w:val="21"/>
        </w:rPr>
        <w:t>地址：深圳市福田区深南大道4009号投资大厦三楼</w:t>
      </w:r>
    </w:p>
    <w:p>
      <w:pPr>
        <w:autoSpaceDE w:val="0"/>
        <w:autoSpaceDN w:val="0"/>
        <w:adjustRightInd w:val="0"/>
        <w:spacing w:before="156" w:after="156"/>
        <w:jc w:val="left"/>
        <w:rPr>
          <w:rFonts w:ascii="Calibri" w:hAnsi="Calibri" w:eastAsia="楷体" w:cs="Calibri"/>
          <w:kern w:val="0"/>
          <w:szCs w:val="21"/>
        </w:rPr>
      </w:pPr>
      <w:r>
        <w:rPr>
          <w:rFonts w:ascii="Calibri" w:hAnsi="Calibri" w:eastAsia="楷体" w:cs="Calibri"/>
          <w:kern w:val="0"/>
          <w:szCs w:val="21"/>
        </w:rPr>
        <w:t>邮编：518048</w:t>
      </w:r>
    </w:p>
    <w:p>
      <w:pPr>
        <w:autoSpaceDE w:val="0"/>
        <w:autoSpaceDN w:val="0"/>
        <w:adjustRightInd w:val="0"/>
        <w:spacing w:before="156" w:after="156"/>
        <w:jc w:val="left"/>
        <w:rPr>
          <w:rFonts w:ascii="Calibri" w:hAnsi="Calibri" w:eastAsia="楷体" w:cs="Calibri"/>
          <w:kern w:val="0"/>
          <w:szCs w:val="21"/>
        </w:rPr>
      </w:pPr>
      <w:r>
        <w:rPr>
          <w:rFonts w:ascii="Calibri" w:hAnsi="Calibri" w:eastAsia="楷体" w:cs="Calibri"/>
          <w:kern w:val="0"/>
          <w:szCs w:val="21"/>
        </w:rPr>
        <w:t>传真：0755-82912900</w:t>
      </w:r>
    </w:p>
    <w:p>
      <w:pPr>
        <w:autoSpaceDE w:val="0"/>
        <w:autoSpaceDN w:val="0"/>
        <w:adjustRightInd w:val="0"/>
        <w:spacing w:before="156" w:after="156"/>
        <w:jc w:val="left"/>
        <w:rPr>
          <w:rFonts w:ascii="Calibri" w:hAnsi="Calibri" w:eastAsia="楷体" w:cs="Calibri"/>
          <w:kern w:val="0"/>
          <w:szCs w:val="21"/>
        </w:rPr>
      </w:pPr>
      <w:r>
        <w:rPr>
          <w:rFonts w:ascii="Calibri" w:hAnsi="Calibri" w:eastAsia="楷体" w:cs="Calibri"/>
          <w:kern w:val="0"/>
          <w:szCs w:val="21"/>
        </w:rPr>
        <w:t>总机：0755-82912900</w:t>
      </w:r>
    </w:p>
    <w:sectPr>
      <w:headerReference r:id="rId11" w:type="first"/>
      <w:headerReference r:id="rId10" w:type="default"/>
      <w:pgSz w:w="11906" w:h="16838"/>
      <w:pgMar w:top="720" w:right="720" w:bottom="720" w:left="720" w:header="284" w:footer="28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华文楷体">
    <w:altName w:val="宋体"/>
    <w:panose1 w:val="02010600040101010101"/>
    <w:charset w:val="86"/>
    <w:family w:val="auto"/>
    <w:pitch w:val="default"/>
    <w:sig w:usb0="00000287" w:usb1="080F0000" w:usb2="00000010" w:usb3="00000000" w:csb0="0004009F" w:csb1="00000000"/>
  </w:font>
  <w:font w:name="Cambria">
    <w:panose1 w:val="020405030504060A0204"/>
    <w:charset w:val="00"/>
    <w:family w:val="auto"/>
    <w:pitch w:val="default"/>
    <w:sig w:usb0="E00002FF" w:usb1="4000045F" w:usb2="00000000" w:usb3="00000000" w:csb0="2000019F" w:csb1="00000000"/>
  </w:font>
  <w:font w:name="楷体_GB2312">
    <w:altName w:val="楷体"/>
    <w:panose1 w:val="00000000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Bdr>
        <w:bottom w:val="none" w:color="auto" w:sz="0" w:space="0"/>
      </w:pBdr>
      <w:spacing w:before="0" w:beforeLines="0" w:after="0" w:afterLine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Bdr>
        <w:bottom w:val="none" w:color="auto" w:sz="0" w:space="0"/>
      </w:pBdr>
      <w:spacing w:before="0" w:beforeLines="0" w:after="0" w:afterLine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30"/>
      <w:tblW w:w="10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5"/>
      <w:gridCol w:w="8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145" w:type="dxa"/>
          <w:vAlign w:val="top"/>
        </w:tcPr>
        <w:p>
          <w:pPr>
            <w:pStyle w:val="16"/>
            <w:pBdr>
              <w:bottom w:val="none" w:color="auto" w:sz="0" w:space="0"/>
            </w:pBdr>
            <w:spacing w:before="120" w:after="120"/>
            <w:jc w:val="both"/>
            <w:textAlignment w:val="bottom"/>
            <w:rPr>
              <w:rFonts w:ascii="华文楷体" w:hAnsi="华文楷体" w:eastAsia="华文楷体"/>
              <w:b/>
              <w:color w:val="538CD5"/>
              <w:sz w:val="21"/>
              <w:szCs w:val="21"/>
            </w:rPr>
          </w:pPr>
          <w:r>
            <w:rPr>
              <w:rFonts w:ascii="Calibri" w:hAnsi="Calibri" w:eastAsia="宋体" w:cs="Times New Roman"/>
              <w:kern w:val="2"/>
              <w:sz w:val="18"/>
              <w:szCs w:val="18"/>
              <w:lang w:val="en-US" w:eastAsia="zh-CN" w:bidi="ar-SA"/>
            </w:rPr>
            <w:pict>
              <v:shape id="图片 4" o:spid="_x0000_s1025" type="#_x0000_t75" style="height:28.35pt;width:96.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tc>
      <w:tc>
        <w:tcPr>
          <w:tcW w:w="8311" w:type="dxa"/>
          <w:tcBorders>
            <w:bottom w:val="single" w:color="002060" w:sz="8" w:space="0"/>
          </w:tcBorders>
          <w:vAlign w:val="bottom"/>
        </w:tcPr>
        <w:p>
          <w:pPr>
            <w:pStyle w:val="16"/>
            <w:pBdr>
              <w:bottom w:val="none" w:color="auto" w:sz="0" w:space="0"/>
            </w:pBdr>
            <w:spacing w:before="0" w:beforeLines="0" w:after="0" w:afterLines="0"/>
            <w:jc w:val="right"/>
            <w:textAlignment w:val="bottom"/>
            <w:rPr>
              <w:rFonts w:ascii="华文楷体" w:hAnsi="华文楷体" w:eastAsia="华文楷体"/>
              <w:b/>
              <w:color w:val="538CD5"/>
              <w:sz w:val="21"/>
              <w:szCs w:val="21"/>
            </w:rPr>
          </w:pPr>
          <w:r>
            <w:rPr>
              <w:rFonts w:hint="eastAsia" w:ascii="华文楷体" w:hAnsi="华文楷体" w:eastAsia="华文楷体"/>
              <w:b/>
              <w:color w:val="002060"/>
              <w:szCs w:val="21"/>
            </w:rPr>
            <w:t>中投期货研究所</w:t>
          </w:r>
          <w:r>
            <w:rPr>
              <w:rFonts w:ascii="华文楷体" w:hAnsi="华文楷体" w:eastAsia="华文楷体"/>
              <w:b/>
              <w:color w:val="002060"/>
              <w:szCs w:val="21"/>
            </w:rPr>
            <w:t>：</w:t>
          </w:r>
          <w:r>
            <w:rPr>
              <w:rFonts w:hint="eastAsia" w:ascii="华文楷体" w:hAnsi="华文楷体" w:eastAsia="华文楷体"/>
              <w:b/>
              <w:color w:val="002060"/>
              <w:szCs w:val="21"/>
            </w:rPr>
            <w:t>2018年0</w:t>
          </w:r>
          <w:r>
            <w:rPr>
              <w:rFonts w:ascii="华文楷体" w:hAnsi="华文楷体" w:eastAsia="华文楷体"/>
              <w:b/>
              <w:color w:val="002060"/>
              <w:szCs w:val="21"/>
            </w:rPr>
            <w:t>7</w:t>
          </w:r>
          <w:r>
            <w:rPr>
              <w:rFonts w:hint="eastAsia" w:ascii="华文楷体" w:hAnsi="华文楷体" w:eastAsia="华文楷体"/>
              <w:b/>
              <w:color w:val="002060"/>
              <w:szCs w:val="21"/>
            </w:rPr>
            <w:t>月0</w:t>
          </w:r>
          <w:r>
            <w:rPr>
              <w:rFonts w:ascii="华文楷体" w:hAnsi="华文楷体" w:eastAsia="华文楷体"/>
              <w:b/>
              <w:color w:val="002060"/>
              <w:szCs w:val="21"/>
            </w:rPr>
            <w:t>1</w:t>
          </w:r>
          <w:r>
            <w:rPr>
              <w:rFonts w:hint="eastAsia" w:ascii="华文楷体" w:hAnsi="华文楷体" w:eastAsia="华文楷体"/>
              <w:b/>
              <w:color w:val="002060"/>
              <w:szCs w:val="21"/>
            </w:rPr>
            <w:t>日</w:t>
          </w:r>
        </w:p>
      </w:tc>
    </w:tr>
  </w:tbl>
  <w:p>
    <w:pPr>
      <w:pStyle w:val="16"/>
      <w:pBdr>
        <w:bottom w:val="none" w:color="auto" w:sz="0" w:space="0"/>
      </w:pBdr>
      <w:spacing w:before="0" w:beforeLines="0" w:after="0" w:afterLines="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beforeLines="0" w:after="0" w:afterLine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7585F"/>
    <w:rsid w:val="00000EA5"/>
    <w:rsid w:val="0000137F"/>
    <w:rsid w:val="000021E0"/>
    <w:rsid w:val="000026E3"/>
    <w:rsid w:val="00002AF6"/>
    <w:rsid w:val="00002E92"/>
    <w:rsid w:val="00002EE4"/>
    <w:rsid w:val="00003BC0"/>
    <w:rsid w:val="00004E0D"/>
    <w:rsid w:val="0000547F"/>
    <w:rsid w:val="00005C43"/>
    <w:rsid w:val="000063DB"/>
    <w:rsid w:val="00007049"/>
    <w:rsid w:val="00007D95"/>
    <w:rsid w:val="00010838"/>
    <w:rsid w:val="000110F1"/>
    <w:rsid w:val="000111F6"/>
    <w:rsid w:val="00011C04"/>
    <w:rsid w:val="00011D39"/>
    <w:rsid w:val="00012248"/>
    <w:rsid w:val="00012772"/>
    <w:rsid w:val="00013396"/>
    <w:rsid w:val="00013522"/>
    <w:rsid w:val="00013718"/>
    <w:rsid w:val="00014384"/>
    <w:rsid w:val="0001446D"/>
    <w:rsid w:val="00014C4F"/>
    <w:rsid w:val="000150BA"/>
    <w:rsid w:val="000151E4"/>
    <w:rsid w:val="00016A97"/>
    <w:rsid w:val="00020233"/>
    <w:rsid w:val="00020AC2"/>
    <w:rsid w:val="00020AFE"/>
    <w:rsid w:val="00022E6F"/>
    <w:rsid w:val="00023348"/>
    <w:rsid w:val="00023537"/>
    <w:rsid w:val="000254C6"/>
    <w:rsid w:val="0002566F"/>
    <w:rsid w:val="000256C2"/>
    <w:rsid w:val="00026456"/>
    <w:rsid w:val="00026D4D"/>
    <w:rsid w:val="000274F9"/>
    <w:rsid w:val="0003079A"/>
    <w:rsid w:val="00031EDF"/>
    <w:rsid w:val="0003269C"/>
    <w:rsid w:val="00033256"/>
    <w:rsid w:val="00033F36"/>
    <w:rsid w:val="00034236"/>
    <w:rsid w:val="00034C53"/>
    <w:rsid w:val="00034EC0"/>
    <w:rsid w:val="00036407"/>
    <w:rsid w:val="0003755C"/>
    <w:rsid w:val="00037583"/>
    <w:rsid w:val="00037BF0"/>
    <w:rsid w:val="00037E24"/>
    <w:rsid w:val="000412ED"/>
    <w:rsid w:val="00041E18"/>
    <w:rsid w:val="0004232A"/>
    <w:rsid w:val="00042C41"/>
    <w:rsid w:val="00042C55"/>
    <w:rsid w:val="0004305B"/>
    <w:rsid w:val="00043C78"/>
    <w:rsid w:val="00043DDC"/>
    <w:rsid w:val="00044281"/>
    <w:rsid w:val="00044629"/>
    <w:rsid w:val="00044A95"/>
    <w:rsid w:val="00044C9C"/>
    <w:rsid w:val="0004564D"/>
    <w:rsid w:val="00045B25"/>
    <w:rsid w:val="00046C4B"/>
    <w:rsid w:val="00046F41"/>
    <w:rsid w:val="000473AD"/>
    <w:rsid w:val="00050452"/>
    <w:rsid w:val="00050EC0"/>
    <w:rsid w:val="00050F25"/>
    <w:rsid w:val="00051626"/>
    <w:rsid w:val="000517AD"/>
    <w:rsid w:val="00052C2C"/>
    <w:rsid w:val="00053BB8"/>
    <w:rsid w:val="00053D9E"/>
    <w:rsid w:val="00055E57"/>
    <w:rsid w:val="000564CF"/>
    <w:rsid w:val="00060751"/>
    <w:rsid w:val="00060D0B"/>
    <w:rsid w:val="0006142B"/>
    <w:rsid w:val="0006223D"/>
    <w:rsid w:val="00062599"/>
    <w:rsid w:val="00063081"/>
    <w:rsid w:val="00063577"/>
    <w:rsid w:val="000635BC"/>
    <w:rsid w:val="00064163"/>
    <w:rsid w:val="00064423"/>
    <w:rsid w:val="00065538"/>
    <w:rsid w:val="00065829"/>
    <w:rsid w:val="00066092"/>
    <w:rsid w:val="0006658D"/>
    <w:rsid w:val="00066F5B"/>
    <w:rsid w:val="00067460"/>
    <w:rsid w:val="000675E6"/>
    <w:rsid w:val="00067E8F"/>
    <w:rsid w:val="00067ED8"/>
    <w:rsid w:val="00070889"/>
    <w:rsid w:val="00070EAD"/>
    <w:rsid w:val="0007190A"/>
    <w:rsid w:val="00071D9C"/>
    <w:rsid w:val="00072DD0"/>
    <w:rsid w:val="000731D3"/>
    <w:rsid w:val="000734F7"/>
    <w:rsid w:val="00073789"/>
    <w:rsid w:val="0007447A"/>
    <w:rsid w:val="00074723"/>
    <w:rsid w:val="00074965"/>
    <w:rsid w:val="00074A75"/>
    <w:rsid w:val="000756EC"/>
    <w:rsid w:val="0007585F"/>
    <w:rsid w:val="00076258"/>
    <w:rsid w:val="00076558"/>
    <w:rsid w:val="000767D6"/>
    <w:rsid w:val="00076959"/>
    <w:rsid w:val="0007756C"/>
    <w:rsid w:val="00080392"/>
    <w:rsid w:val="0008096C"/>
    <w:rsid w:val="00080C5F"/>
    <w:rsid w:val="0008101D"/>
    <w:rsid w:val="0008227B"/>
    <w:rsid w:val="0008255D"/>
    <w:rsid w:val="00083B42"/>
    <w:rsid w:val="00084A70"/>
    <w:rsid w:val="00085FC0"/>
    <w:rsid w:val="000861CA"/>
    <w:rsid w:val="00086F5D"/>
    <w:rsid w:val="000875DC"/>
    <w:rsid w:val="0009184A"/>
    <w:rsid w:val="00091D70"/>
    <w:rsid w:val="0009292C"/>
    <w:rsid w:val="00092F29"/>
    <w:rsid w:val="0009308E"/>
    <w:rsid w:val="000933D2"/>
    <w:rsid w:val="00094548"/>
    <w:rsid w:val="000955E8"/>
    <w:rsid w:val="00095A97"/>
    <w:rsid w:val="000974E2"/>
    <w:rsid w:val="000A0918"/>
    <w:rsid w:val="000A0C44"/>
    <w:rsid w:val="000A2A10"/>
    <w:rsid w:val="000A2A41"/>
    <w:rsid w:val="000A2D34"/>
    <w:rsid w:val="000A3972"/>
    <w:rsid w:val="000A3D27"/>
    <w:rsid w:val="000A43FD"/>
    <w:rsid w:val="000A46AA"/>
    <w:rsid w:val="000A4975"/>
    <w:rsid w:val="000A595D"/>
    <w:rsid w:val="000A5994"/>
    <w:rsid w:val="000A6337"/>
    <w:rsid w:val="000A6929"/>
    <w:rsid w:val="000A7203"/>
    <w:rsid w:val="000A7B94"/>
    <w:rsid w:val="000B055A"/>
    <w:rsid w:val="000B2778"/>
    <w:rsid w:val="000B395F"/>
    <w:rsid w:val="000B3E40"/>
    <w:rsid w:val="000B4704"/>
    <w:rsid w:val="000B548F"/>
    <w:rsid w:val="000B5AB9"/>
    <w:rsid w:val="000B6B9B"/>
    <w:rsid w:val="000B717A"/>
    <w:rsid w:val="000B756D"/>
    <w:rsid w:val="000B7BD3"/>
    <w:rsid w:val="000C0B5C"/>
    <w:rsid w:val="000C1D11"/>
    <w:rsid w:val="000C3B6C"/>
    <w:rsid w:val="000C3C96"/>
    <w:rsid w:val="000C3DAD"/>
    <w:rsid w:val="000C4618"/>
    <w:rsid w:val="000C4BCE"/>
    <w:rsid w:val="000C62F8"/>
    <w:rsid w:val="000C6953"/>
    <w:rsid w:val="000D0667"/>
    <w:rsid w:val="000D0974"/>
    <w:rsid w:val="000D1475"/>
    <w:rsid w:val="000D1C18"/>
    <w:rsid w:val="000D2470"/>
    <w:rsid w:val="000D2812"/>
    <w:rsid w:val="000D2845"/>
    <w:rsid w:val="000D3211"/>
    <w:rsid w:val="000D33CC"/>
    <w:rsid w:val="000D45A1"/>
    <w:rsid w:val="000D4BFB"/>
    <w:rsid w:val="000D5181"/>
    <w:rsid w:val="000D5721"/>
    <w:rsid w:val="000D5F03"/>
    <w:rsid w:val="000D63AD"/>
    <w:rsid w:val="000D6812"/>
    <w:rsid w:val="000D6ADF"/>
    <w:rsid w:val="000D73B5"/>
    <w:rsid w:val="000D78E2"/>
    <w:rsid w:val="000E027A"/>
    <w:rsid w:val="000E1111"/>
    <w:rsid w:val="000E19B9"/>
    <w:rsid w:val="000E1D3C"/>
    <w:rsid w:val="000E288C"/>
    <w:rsid w:val="000E2D36"/>
    <w:rsid w:val="000E2F94"/>
    <w:rsid w:val="000E4357"/>
    <w:rsid w:val="000E5D2E"/>
    <w:rsid w:val="000E65BD"/>
    <w:rsid w:val="000E65C5"/>
    <w:rsid w:val="000E6D39"/>
    <w:rsid w:val="000E7235"/>
    <w:rsid w:val="000E77E2"/>
    <w:rsid w:val="000F0062"/>
    <w:rsid w:val="000F067D"/>
    <w:rsid w:val="000F21C3"/>
    <w:rsid w:val="000F2570"/>
    <w:rsid w:val="000F27F3"/>
    <w:rsid w:val="000F393D"/>
    <w:rsid w:val="000F3A06"/>
    <w:rsid w:val="000F3E56"/>
    <w:rsid w:val="000F4E2C"/>
    <w:rsid w:val="000F5928"/>
    <w:rsid w:val="000F6AE7"/>
    <w:rsid w:val="000F7CDE"/>
    <w:rsid w:val="0010053D"/>
    <w:rsid w:val="00100EE6"/>
    <w:rsid w:val="00100F9A"/>
    <w:rsid w:val="001015A1"/>
    <w:rsid w:val="001022E6"/>
    <w:rsid w:val="00103740"/>
    <w:rsid w:val="00103C42"/>
    <w:rsid w:val="00103D4C"/>
    <w:rsid w:val="00104388"/>
    <w:rsid w:val="00104F1A"/>
    <w:rsid w:val="00104FED"/>
    <w:rsid w:val="00105709"/>
    <w:rsid w:val="00105756"/>
    <w:rsid w:val="00105764"/>
    <w:rsid w:val="0010598E"/>
    <w:rsid w:val="00105B7A"/>
    <w:rsid w:val="0010608E"/>
    <w:rsid w:val="0010623E"/>
    <w:rsid w:val="00106A2A"/>
    <w:rsid w:val="00106DEA"/>
    <w:rsid w:val="00110E2D"/>
    <w:rsid w:val="00111020"/>
    <w:rsid w:val="001115FD"/>
    <w:rsid w:val="00111874"/>
    <w:rsid w:val="001118FE"/>
    <w:rsid w:val="00111C1B"/>
    <w:rsid w:val="001123D3"/>
    <w:rsid w:val="00112CB9"/>
    <w:rsid w:val="00112F40"/>
    <w:rsid w:val="001135ED"/>
    <w:rsid w:val="001136E0"/>
    <w:rsid w:val="00113D53"/>
    <w:rsid w:val="00115105"/>
    <w:rsid w:val="001155FC"/>
    <w:rsid w:val="0011561E"/>
    <w:rsid w:val="00115B83"/>
    <w:rsid w:val="00115C2C"/>
    <w:rsid w:val="001167CE"/>
    <w:rsid w:val="001167F8"/>
    <w:rsid w:val="00116E0A"/>
    <w:rsid w:val="00117154"/>
    <w:rsid w:val="001178C7"/>
    <w:rsid w:val="00117A7B"/>
    <w:rsid w:val="00117AEF"/>
    <w:rsid w:val="001206BB"/>
    <w:rsid w:val="00120EAA"/>
    <w:rsid w:val="00121592"/>
    <w:rsid w:val="0012160A"/>
    <w:rsid w:val="001218FA"/>
    <w:rsid w:val="00121E26"/>
    <w:rsid w:val="001223CF"/>
    <w:rsid w:val="00123444"/>
    <w:rsid w:val="0012412A"/>
    <w:rsid w:val="001243A8"/>
    <w:rsid w:val="00124702"/>
    <w:rsid w:val="00124C92"/>
    <w:rsid w:val="00124D33"/>
    <w:rsid w:val="00125C02"/>
    <w:rsid w:val="00126221"/>
    <w:rsid w:val="00126D77"/>
    <w:rsid w:val="0012779F"/>
    <w:rsid w:val="00127F50"/>
    <w:rsid w:val="0013194A"/>
    <w:rsid w:val="00131D68"/>
    <w:rsid w:val="00131EA6"/>
    <w:rsid w:val="00132765"/>
    <w:rsid w:val="00132873"/>
    <w:rsid w:val="001334E3"/>
    <w:rsid w:val="001337AC"/>
    <w:rsid w:val="00133EE9"/>
    <w:rsid w:val="0013441B"/>
    <w:rsid w:val="0013497B"/>
    <w:rsid w:val="0013549D"/>
    <w:rsid w:val="00135D62"/>
    <w:rsid w:val="00137629"/>
    <w:rsid w:val="001415E5"/>
    <w:rsid w:val="00141A82"/>
    <w:rsid w:val="00143365"/>
    <w:rsid w:val="0014392A"/>
    <w:rsid w:val="00143E23"/>
    <w:rsid w:val="001442D3"/>
    <w:rsid w:val="0014484B"/>
    <w:rsid w:val="0014493F"/>
    <w:rsid w:val="00145003"/>
    <w:rsid w:val="00145138"/>
    <w:rsid w:val="00146BE7"/>
    <w:rsid w:val="00147394"/>
    <w:rsid w:val="00147D8D"/>
    <w:rsid w:val="001506F0"/>
    <w:rsid w:val="00150F07"/>
    <w:rsid w:val="00151A92"/>
    <w:rsid w:val="00152996"/>
    <w:rsid w:val="00152CA0"/>
    <w:rsid w:val="00152D00"/>
    <w:rsid w:val="00152F52"/>
    <w:rsid w:val="00152FB5"/>
    <w:rsid w:val="00153233"/>
    <w:rsid w:val="00153DB9"/>
    <w:rsid w:val="00154591"/>
    <w:rsid w:val="00154743"/>
    <w:rsid w:val="00154CD3"/>
    <w:rsid w:val="00155F96"/>
    <w:rsid w:val="00155FB2"/>
    <w:rsid w:val="00156218"/>
    <w:rsid w:val="001600FA"/>
    <w:rsid w:val="00160217"/>
    <w:rsid w:val="00160245"/>
    <w:rsid w:val="00160700"/>
    <w:rsid w:val="00160AC9"/>
    <w:rsid w:val="00161270"/>
    <w:rsid w:val="00162059"/>
    <w:rsid w:val="001621BD"/>
    <w:rsid w:val="00162270"/>
    <w:rsid w:val="001637E7"/>
    <w:rsid w:val="00163860"/>
    <w:rsid w:val="00163CC7"/>
    <w:rsid w:val="0016518A"/>
    <w:rsid w:val="001663ED"/>
    <w:rsid w:val="00166B43"/>
    <w:rsid w:val="00166EF0"/>
    <w:rsid w:val="00167292"/>
    <w:rsid w:val="00167BF3"/>
    <w:rsid w:val="00167D0B"/>
    <w:rsid w:val="00170337"/>
    <w:rsid w:val="00170371"/>
    <w:rsid w:val="001709E8"/>
    <w:rsid w:val="00170A25"/>
    <w:rsid w:val="0017112F"/>
    <w:rsid w:val="00171173"/>
    <w:rsid w:val="001714E4"/>
    <w:rsid w:val="001719AE"/>
    <w:rsid w:val="001722A2"/>
    <w:rsid w:val="00173055"/>
    <w:rsid w:val="0017344A"/>
    <w:rsid w:val="00173E78"/>
    <w:rsid w:val="00174637"/>
    <w:rsid w:val="00174995"/>
    <w:rsid w:val="001754A8"/>
    <w:rsid w:val="001755EB"/>
    <w:rsid w:val="0017600F"/>
    <w:rsid w:val="00176037"/>
    <w:rsid w:val="00177448"/>
    <w:rsid w:val="00177582"/>
    <w:rsid w:val="0017770B"/>
    <w:rsid w:val="00181200"/>
    <w:rsid w:val="0018133C"/>
    <w:rsid w:val="00181E0D"/>
    <w:rsid w:val="001823C5"/>
    <w:rsid w:val="00182498"/>
    <w:rsid w:val="001829F9"/>
    <w:rsid w:val="00183823"/>
    <w:rsid w:val="001840AF"/>
    <w:rsid w:val="00184E07"/>
    <w:rsid w:val="001852BF"/>
    <w:rsid w:val="00185AD9"/>
    <w:rsid w:val="0018615C"/>
    <w:rsid w:val="001865D7"/>
    <w:rsid w:val="00186E90"/>
    <w:rsid w:val="001870C5"/>
    <w:rsid w:val="00192559"/>
    <w:rsid w:val="00193116"/>
    <w:rsid w:val="001937AD"/>
    <w:rsid w:val="001945AA"/>
    <w:rsid w:val="0019460A"/>
    <w:rsid w:val="001948C0"/>
    <w:rsid w:val="00194E5B"/>
    <w:rsid w:val="00195F89"/>
    <w:rsid w:val="001960F8"/>
    <w:rsid w:val="001976BD"/>
    <w:rsid w:val="00197C3D"/>
    <w:rsid w:val="001A066A"/>
    <w:rsid w:val="001A0677"/>
    <w:rsid w:val="001A085D"/>
    <w:rsid w:val="001A089D"/>
    <w:rsid w:val="001A15DB"/>
    <w:rsid w:val="001A1919"/>
    <w:rsid w:val="001A1A9D"/>
    <w:rsid w:val="001A1F90"/>
    <w:rsid w:val="001A26D6"/>
    <w:rsid w:val="001A31D0"/>
    <w:rsid w:val="001A43EE"/>
    <w:rsid w:val="001A4689"/>
    <w:rsid w:val="001A5C6F"/>
    <w:rsid w:val="001A5E79"/>
    <w:rsid w:val="001A6552"/>
    <w:rsid w:val="001A68AF"/>
    <w:rsid w:val="001A6E5B"/>
    <w:rsid w:val="001A7FC7"/>
    <w:rsid w:val="001B021F"/>
    <w:rsid w:val="001B035C"/>
    <w:rsid w:val="001B07E0"/>
    <w:rsid w:val="001B24FD"/>
    <w:rsid w:val="001B2FE6"/>
    <w:rsid w:val="001B3C5D"/>
    <w:rsid w:val="001B541E"/>
    <w:rsid w:val="001B54E2"/>
    <w:rsid w:val="001B63C1"/>
    <w:rsid w:val="001B7914"/>
    <w:rsid w:val="001C051E"/>
    <w:rsid w:val="001C073F"/>
    <w:rsid w:val="001C24E1"/>
    <w:rsid w:val="001C2F86"/>
    <w:rsid w:val="001C4361"/>
    <w:rsid w:val="001C6CD4"/>
    <w:rsid w:val="001C794F"/>
    <w:rsid w:val="001C7BE4"/>
    <w:rsid w:val="001D00AB"/>
    <w:rsid w:val="001D3C0B"/>
    <w:rsid w:val="001D430E"/>
    <w:rsid w:val="001D476D"/>
    <w:rsid w:val="001D648F"/>
    <w:rsid w:val="001D6F17"/>
    <w:rsid w:val="001D78AB"/>
    <w:rsid w:val="001D78B8"/>
    <w:rsid w:val="001E0302"/>
    <w:rsid w:val="001E04E3"/>
    <w:rsid w:val="001E0CB2"/>
    <w:rsid w:val="001E2068"/>
    <w:rsid w:val="001E2630"/>
    <w:rsid w:val="001E34CD"/>
    <w:rsid w:val="001E392A"/>
    <w:rsid w:val="001E4FE7"/>
    <w:rsid w:val="001E555D"/>
    <w:rsid w:val="001E635E"/>
    <w:rsid w:val="001E65C3"/>
    <w:rsid w:val="001E7078"/>
    <w:rsid w:val="001E7776"/>
    <w:rsid w:val="001F02FC"/>
    <w:rsid w:val="001F0516"/>
    <w:rsid w:val="001F0A08"/>
    <w:rsid w:val="001F1B29"/>
    <w:rsid w:val="001F1D15"/>
    <w:rsid w:val="001F300A"/>
    <w:rsid w:val="001F360C"/>
    <w:rsid w:val="001F493D"/>
    <w:rsid w:val="001F5ACA"/>
    <w:rsid w:val="001F625E"/>
    <w:rsid w:val="001F6397"/>
    <w:rsid w:val="001F6790"/>
    <w:rsid w:val="001F6B8A"/>
    <w:rsid w:val="0020068B"/>
    <w:rsid w:val="002006FB"/>
    <w:rsid w:val="00202E25"/>
    <w:rsid w:val="00202E5E"/>
    <w:rsid w:val="002030BA"/>
    <w:rsid w:val="002031B5"/>
    <w:rsid w:val="00204293"/>
    <w:rsid w:val="002056E0"/>
    <w:rsid w:val="00205978"/>
    <w:rsid w:val="002069BC"/>
    <w:rsid w:val="00210180"/>
    <w:rsid w:val="00210906"/>
    <w:rsid w:val="00210DBF"/>
    <w:rsid w:val="00211D4A"/>
    <w:rsid w:val="00211E2D"/>
    <w:rsid w:val="00213C97"/>
    <w:rsid w:val="00214CA7"/>
    <w:rsid w:val="00215A0B"/>
    <w:rsid w:val="00215DA4"/>
    <w:rsid w:val="00216C5F"/>
    <w:rsid w:val="00217565"/>
    <w:rsid w:val="00217A75"/>
    <w:rsid w:val="0022030F"/>
    <w:rsid w:val="00221B25"/>
    <w:rsid w:val="00222A2A"/>
    <w:rsid w:val="00223401"/>
    <w:rsid w:val="00223CEB"/>
    <w:rsid w:val="00224091"/>
    <w:rsid w:val="0022467A"/>
    <w:rsid w:val="002251AA"/>
    <w:rsid w:val="002266CD"/>
    <w:rsid w:val="0022720F"/>
    <w:rsid w:val="002277A3"/>
    <w:rsid w:val="00231778"/>
    <w:rsid w:val="00231C35"/>
    <w:rsid w:val="0023375A"/>
    <w:rsid w:val="002338F8"/>
    <w:rsid w:val="00233920"/>
    <w:rsid w:val="00233CD2"/>
    <w:rsid w:val="002344EF"/>
    <w:rsid w:val="00234BD0"/>
    <w:rsid w:val="00235DC0"/>
    <w:rsid w:val="00236E96"/>
    <w:rsid w:val="002371CC"/>
    <w:rsid w:val="0023728D"/>
    <w:rsid w:val="00237C0A"/>
    <w:rsid w:val="002408CB"/>
    <w:rsid w:val="002409D0"/>
    <w:rsid w:val="00241C20"/>
    <w:rsid w:val="00243286"/>
    <w:rsid w:val="002443D2"/>
    <w:rsid w:val="00245AFE"/>
    <w:rsid w:val="00246DA8"/>
    <w:rsid w:val="00246DE0"/>
    <w:rsid w:val="0024799B"/>
    <w:rsid w:val="00247DCF"/>
    <w:rsid w:val="00247F87"/>
    <w:rsid w:val="00247FFE"/>
    <w:rsid w:val="00250E3F"/>
    <w:rsid w:val="00251CF4"/>
    <w:rsid w:val="00251E62"/>
    <w:rsid w:val="002527A5"/>
    <w:rsid w:val="002527EA"/>
    <w:rsid w:val="00253339"/>
    <w:rsid w:val="0025359D"/>
    <w:rsid w:val="00253C0E"/>
    <w:rsid w:val="00254110"/>
    <w:rsid w:val="002541E1"/>
    <w:rsid w:val="002563B5"/>
    <w:rsid w:val="00256586"/>
    <w:rsid w:val="00256E7F"/>
    <w:rsid w:val="002573BC"/>
    <w:rsid w:val="00260B4E"/>
    <w:rsid w:val="00262B45"/>
    <w:rsid w:val="00262D23"/>
    <w:rsid w:val="00262D28"/>
    <w:rsid w:val="002634D9"/>
    <w:rsid w:val="00264632"/>
    <w:rsid w:val="0026571C"/>
    <w:rsid w:val="002657B7"/>
    <w:rsid w:val="00265BCD"/>
    <w:rsid w:val="00265F1D"/>
    <w:rsid w:val="00266F28"/>
    <w:rsid w:val="0026705A"/>
    <w:rsid w:val="00267125"/>
    <w:rsid w:val="00267A2B"/>
    <w:rsid w:val="002708F5"/>
    <w:rsid w:val="002719A9"/>
    <w:rsid w:val="0027267F"/>
    <w:rsid w:val="00272758"/>
    <w:rsid w:val="002728E3"/>
    <w:rsid w:val="00272C1D"/>
    <w:rsid w:val="00272EF9"/>
    <w:rsid w:val="002733CB"/>
    <w:rsid w:val="00273541"/>
    <w:rsid w:val="00273A10"/>
    <w:rsid w:val="00273E6A"/>
    <w:rsid w:val="00274498"/>
    <w:rsid w:val="00274FCE"/>
    <w:rsid w:val="00276912"/>
    <w:rsid w:val="00276D4D"/>
    <w:rsid w:val="00276E1F"/>
    <w:rsid w:val="0027705B"/>
    <w:rsid w:val="0027731E"/>
    <w:rsid w:val="002774C2"/>
    <w:rsid w:val="002778A1"/>
    <w:rsid w:val="002779B5"/>
    <w:rsid w:val="002800B8"/>
    <w:rsid w:val="00280252"/>
    <w:rsid w:val="00280B6E"/>
    <w:rsid w:val="00280D11"/>
    <w:rsid w:val="0028131F"/>
    <w:rsid w:val="002828EF"/>
    <w:rsid w:val="00282B17"/>
    <w:rsid w:val="00282F06"/>
    <w:rsid w:val="00283407"/>
    <w:rsid w:val="00283F1A"/>
    <w:rsid w:val="002844E7"/>
    <w:rsid w:val="00285029"/>
    <w:rsid w:val="002852B1"/>
    <w:rsid w:val="00290F99"/>
    <w:rsid w:val="00291220"/>
    <w:rsid w:val="002912C9"/>
    <w:rsid w:val="0029150F"/>
    <w:rsid w:val="0029217B"/>
    <w:rsid w:val="0029220A"/>
    <w:rsid w:val="00292DDE"/>
    <w:rsid w:val="002942A9"/>
    <w:rsid w:val="00294B59"/>
    <w:rsid w:val="002956AF"/>
    <w:rsid w:val="00296080"/>
    <w:rsid w:val="00296ED8"/>
    <w:rsid w:val="00297021"/>
    <w:rsid w:val="00297305"/>
    <w:rsid w:val="00297EE9"/>
    <w:rsid w:val="002A007A"/>
    <w:rsid w:val="002A0BAD"/>
    <w:rsid w:val="002A0ED7"/>
    <w:rsid w:val="002A132D"/>
    <w:rsid w:val="002A2012"/>
    <w:rsid w:val="002A32C6"/>
    <w:rsid w:val="002A3589"/>
    <w:rsid w:val="002A396F"/>
    <w:rsid w:val="002A40E6"/>
    <w:rsid w:val="002A514B"/>
    <w:rsid w:val="002A55C1"/>
    <w:rsid w:val="002A5E81"/>
    <w:rsid w:val="002A5ECF"/>
    <w:rsid w:val="002A659D"/>
    <w:rsid w:val="002A661E"/>
    <w:rsid w:val="002A6DA7"/>
    <w:rsid w:val="002A7830"/>
    <w:rsid w:val="002B077E"/>
    <w:rsid w:val="002B0988"/>
    <w:rsid w:val="002B0C64"/>
    <w:rsid w:val="002B14DF"/>
    <w:rsid w:val="002B1BED"/>
    <w:rsid w:val="002B3430"/>
    <w:rsid w:val="002B35E2"/>
    <w:rsid w:val="002B3C09"/>
    <w:rsid w:val="002B63F7"/>
    <w:rsid w:val="002B65B9"/>
    <w:rsid w:val="002B690B"/>
    <w:rsid w:val="002C06D6"/>
    <w:rsid w:val="002C06E3"/>
    <w:rsid w:val="002C0AD0"/>
    <w:rsid w:val="002C1996"/>
    <w:rsid w:val="002C1A6D"/>
    <w:rsid w:val="002C308E"/>
    <w:rsid w:val="002C49C6"/>
    <w:rsid w:val="002C4D53"/>
    <w:rsid w:val="002C5A28"/>
    <w:rsid w:val="002C61D2"/>
    <w:rsid w:val="002C71DC"/>
    <w:rsid w:val="002C7393"/>
    <w:rsid w:val="002D041E"/>
    <w:rsid w:val="002D06B6"/>
    <w:rsid w:val="002D0C7E"/>
    <w:rsid w:val="002D1199"/>
    <w:rsid w:val="002D17F0"/>
    <w:rsid w:val="002D1A7B"/>
    <w:rsid w:val="002D2C0F"/>
    <w:rsid w:val="002D2FFC"/>
    <w:rsid w:val="002D4F5D"/>
    <w:rsid w:val="002D5949"/>
    <w:rsid w:val="002D67F8"/>
    <w:rsid w:val="002D7758"/>
    <w:rsid w:val="002E02A8"/>
    <w:rsid w:val="002E02D1"/>
    <w:rsid w:val="002E11D1"/>
    <w:rsid w:val="002E241B"/>
    <w:rsid w:val="002E2A8F"/>
    <w:rsid w:val="002E4577"/>
    <w:rsid w:val="002E515C"/>
    <w:rsid w:val="002E68F8"/>
    <w:rsid w:val="002E71CC"/>
    <w:rsid w:val="002E74BF"/>
    <w:rsid w:val="002E769A"/>
    <w:rsid w:val="002E769E"/>
    <w:rsid w:val="002E7BA0"/>
    <w:rsid w:val="002F05B0"/>
    <w:rsid w:val="002F0D43"/>
    <w:rsid w:val="002F14A6"/>
    <w:rsid w:val="002F1ACB"/>
    <w:rsid w:val="002F2712"/>
    <w:rsid w:val="002F2A79"/>
    <w:rsid w:val="002F2C76"/>
    <w:rsid w:val="002F3A66"/>
    <w:rsid w:val="002F3EC2"/>
    <w:rsid w:val="002F4465"/>
    <w:rsid w:val="002F4A73"/>
    <w:rsid w:val="002F4BE3"/>
    <w:rsid w:val="002F52FB"/>
    <w:rsid w:val="002F533A"/>
    <w:rsid w:val="002F63CC"/>
    <w:rsid w:val="002F6B64"/>
    <w:rsid w:val="002F7831"/>
    <w:rsid w:val="002F7BBD"/>
    <w:rsid w:val="003007BF"/>
    <w:rsid w:val="00300AD9"/>
    <w:rsid w:val="003014EF"/>
    <w:rsid w:val="00301637"/>
    <w:rsid w:val="00301AF0"/>
    <w:rsid w:val="00301C83"/>
    <w:rsid w:val="0030265E"/>
    <w:rsid w:val="00302AB8"/>
    <w:rsid w:val="00302C7C"/>
    <w:rsid w:val="003048E5"/>
    <w:rsid w:val="00304ABF"/>
    <w:rsid w:val="00307231"/>
    <w:rsid w:val="003073A7"/>
    <w:rsid w:val="003073A9"/>
    <w:rsid w:val="003100D2"/>
    <w:rsid w:val="003106B3"/>
    <w:rsid w:val="003118F3"/>
    <w:rsid w:val="00311C5A"/>
    <w:rsid w:val="0031331D"/>
    <w:rsid w:val="00313596"/>
    <w:rsid w:val="00313AEB"/>
    <w:rsid w:val="00313B5B"/>
    <w:rsid w:val="00313E17"/>
    <w:rsid w:val="003142D0"/>
    <w:rsid w:val="003152D3"/>
    <w:rsid w:val="00315552"/>
    <w:rsid w:val="003160E5"/>
    <w:rsid w:val="00316E7B"/>
    <w:rsid w:val="00316FAE"/>
    <w:rsid w:val="003173BB"/>
    <w:rsid w:val="00317479"/>
    <w:rsid w:val="00321C83"/>
    <w:rsid w:val="00321F82"/>
    <w:rsid w:val="003223C8"/>
    <w:rsid w:val="003228E1"/>
    <w:rsid w:val="00323C34"/>
    <w:rsid w:val="0032552C"/>
    <w:rsid w:val="0032581E"/>
    <w:rsid w:val="00326E8A"/>
    <w:rsid w:val="00326F73"/>
    <w:rsid w:val="003270CB"/>
    <w:rsid w:val="00327129"/>
    <w:rsid w:val="00327254"/>
    <w:rsid w:val="00327281"/>
    <w:rsid w:val="0033033D"/>
    <w:rsid w:val="00330744"/>
    <w:rsid w:val="00331E91"/>
    <w:rsid w:val="00331F8E"/>
    <w:rsid w:val="003322B5"/>
    <w:rsid w:val="0033326C"/>
    <w:rsid w:val="003332D6"/>
    <w:rsid w:val="00333ABD"/>
    <w:rsid w:val="00333E05"/>
    <w:rsid w:val="003344EA"/>
    <w:rsid w:val="00334763"/>
    <w:rsid w:val="0033481F"/>
    <w:rsid w:val="00335C57"/>
    <w:rsid w:val="00335D29"/>
    <w:rsid w:val="00336D54"/>
    <w:rsid w:val="003373C9"/>
    <w:rsid w:val="00337454"/>
    <w:rsid w:val="00337AFF"/>
    <w:rsid w:val="003408B8"/>
    <w:rsid w:val="0034093E"/>
    <w:rsid w:val="00341878"/>
    <w:rsid w:val="00341DFE"/>
    <w:rsid w:val="0034274F"/>
    <w:rsid w:val="00342C94"/>
    <w:rsid w:val="003430E2"/>
    <w:rsid w:val="003432C5"/>
    <w:rsid w:val="00343859"/>
    <w:rsid w:val="00344C45"/>
    <w:rsid w:val="0034564E"/>
    <w:rsid w:val="003458DB"/>
    <w:rsid w:val="003459F3"/>
    <w:rsid w:val="00346BC7"/>
    <w:rsid w:val="00346BCA"/>
    <w:rsid w:val="003477F0"/>
    <w:rsid w:val="00350B3D"/>
    <w:rsid w:val="003510AA"/>
    <w:rsid w:val="00352F2A"/>
    <w:rsid w:val="00353339"/>
    <w:rsid w:val="00355AED"/>
    <w:rsid w:val="00355B08"/>
    <w:rsid w:val="00355BF8"/>
    <w:rsid w:val="003572AE"/>
    <w:rsid w:val="003572C4"/>
    <w:rsid w:val="0035779A"/>
    <w:rsid w:val="003602CD"/>
    <w:rsid w:val="00361B2E"/>
    <w:rsid w:val="0036244D"/>
    <w:rsid w:val="0036344F"/>
    <w:rsid w:val="00365D54"/>
    <w:rsid w:val="00366000"/>
    <w:rsid w:val="0036658E"/>
    <w:rsid w:val="00370949"/>
    <w:rsid w:val="00370E0B"/>
    <w:rsid w:val="00372218"/>
    <w:rsid w:val="003725A4"/>
    <w:rsid w:val="003743F8"/>
    <w:rsid w:val="0037629A"/>
    <w:rsid w:val="0037713B"/>
    <w:rsid w:val="0037771E"/>
    <w:rsid w:val="00377AC1"/>
    <w:rsid w:val="00377F4F"/>
    <w:rsid w:val="003803DA"/>
    <w:rsid w:val="00381365"/>
    <w:rsid w:val="0038138E"/>
    <w:rsid w:val="00381A7D"/>
    <w:rsid w:val="00381CC1"/>
    <w:rsid w:val="0038233D"/>
    <w:rsid w:val="00382A0E"/>
    <w:rsid w:val="00382F33"/>
    <w:rsid w:val="0038300E"/>
    <w:rsid w:val="00383414"/>
    <w:rsid w:val="00384770"/>
    <w:rsid w:val="003849B0"/>
    <w:rsid w:val="00385448"/>
    <w:rsid w:val="003857F3"/>
    <w:rsid w:val="00385E1D"/>
    <w:rsid w:val="00385E4A"/>
    <w:rsid w:val="0038741F"/>
    <w:rsid w:val="003902C3"/>
    <w:rsid w:val="00391735"/>
    <w:rsid w:val="00391C4B"/>
    <w:rsid w:val="00392367"/>
    <w:rsid w:val="003929DB"/>
    <w:rsid w:val="00392E80"/>
    <w:rsid w:val="00392F71"/>
    <w:rsid w:val="00393F95"/>
    <w:rsid w:val="003943CC"/>
    <w:rsid w:val="00394576"/>
    <w:rsid w:val="003947C7"/>
    <w:rsid w:val="003958EA"/>
    <w:rsid w:val="003966C4"/>
    <w:rsid w:val="00396DCD"/>
    <w:rsid w:val="003973BC"/>
    <w:rsid w:val="00397C97"/>
    <w:rsid w:val="00397CF2"/>
    <w:rsid w:val="003A0233"/>
    <w:rsid w:val="003A0401"/>
    <w:rsid w:val="003A1534"/>
    <w:rsid w:val="003A23BC"/>
    <w:rsid w:val="003A2FDE"/>
    <w:rsid w:val="003A31C6"/>
    <w:rsid w:val="003A4581"/>
    <w:rsid w:val="003A4A24"/>
    <w:rsid w:val="003A626F"/>
    <w:rsid w:val="003A62E5"/>
    <w:rsid w:val="003A6831"/>
    <w:rsid w:val="003A68B6"/>
    <w:rsid w:val="003A7130"/>
    <w:rsid w:val="003A78C9"/>
    <w:rsid w:val="003A791C"/>
    <w:rsid w:val="003B06BF"/>
    <w:rsid w:val="003B126D"/>
    <w:rsid w:val="003B1379"/>
    <w:rsid w:val="003B161B"/>
    <w:rsid w:val="003B2816"/>
    <w:rsid w:val="003B3D8A"/>
    <w:rsid w:val="003B48D2"/>
    <w:rsid w:val="003B51D8"/>
    <w:rsid w:val="003B6C5C"/>
    <w:rsid w:val="003B7684"/>
    <w:rsid w:val="003B7FE5"/>
    <w:rsid w:val="003C0277"/>
    <w:rsid w:val="003C04DE"/>
    <w:rsid w:val="003C15EB"/>
    <w:rsid w:val="003C1FBB"/>
    <w:rsid w:val="003C2C37"/>
    <w:rsid w:val="003C400C"/>
    <w:rsid w:val="003C6E80"/>
    <w:rsid w:val="003C768D"/>
    <w:rsid w:val="003C7CE0"/>
    <w:rsid w:val="003D0749"/>
    <w:rsid w:val="003D0F9A"/>
    <w:rsid w:val="003D1C84"/>
    <w:rsid w:val="003D2596"/>
    <w:rsid w:val="003D2608"/>
    <w:rsid w:val="003D3172"/>
    <w:rsid w:val="003D39D1"/>
    <w:rsid w:val="003D3C23"/>
    <w:rsid w:val="003D4206"/>
    <w:rsid w:val="003D44C1"/>
    <w:rsid w:val="003D5A4F"/>
    <w:rsid w:val="003D5AC7"/>
    <w:rsid w:val="003D6B36"/>
    <w:rsid w:val="003D6DDB"/>
    <w:rsid w:val="003D717E"/>
    <w:rsid w:val="003D793F"/>
    <w:rsid w:val="003D7E11"/>
    <w:rsid w:val="003E032C"/>
    <w:rsid w:val="003E0E8C"/>
    <w:rsid w:val="003E13D4"/>
    <w:rsid w:val="003E17BE"/>
    <w:rsid w:val="003E1E83"/>
    <w:rsid w:val="003E1FD4"/>
    <w:rsid w:val="003E217D"/>
    <w:rsid w:val="003E2D23"/>
    <w:rsid w:val="003E37E6"/>
    <w:rsid w:val="003E3B5A"/>
    <w:rsid w:val="003E4F61"/>
    <w:rsid w:val="003E5701"/>
    <w:rsid w:val="003E58A6"/>
    <w:rsid w:val="003E5B49"/>
    <w:rsid w:val="003E5F51"/>
    <w:rsid w:val="003E657C"/>
    <w:rsid w:val="003E66FB"/>
    <w:rsid w:val="003E7223"/>
    <w:rsid w:val="003F03B6"/>
    <w:rsid w:val="003F05CC"/>
    <w:rsid w:val="003F08CB"/>
    <w:rsid w:val="003F0A7D"/>
    <w:rsid w:val="003F1679"/>
    <w:rsid w:val="003F27AA"/>
    <w:rsid w:val="003F40FF"/>
    <w:rsid w:val="003F503D"/>
    <w:rsid w:val="003F5202"/>
    <w:rsid w:val="003F5C12"/>
    <w:rsid w:val="003F6417"/>
    <w:rsid w:val="003F6649"/>
    <w:rsid w:val="003F7A25"/>
    <w:rsid w:val="003F7BD0"/>
    <w:rsid w:val="0040024C"/>
    <w:rsid w:val="00400F81"/>
    <w:rsid w:val="00401311"/>
    <w:rsid w:val="0040243A"/>
    <w:rsid w:val="004038FD"/>
    <w:rsid w:val="004040AC"/>
    <w:rsid w:val="00404AA7"/>
    <w:rsid w:val="00404B3C"/>
    <w:rsid w:val="004054C4"/>
    <w:rsid w:val="00405522"/>
    <w:rsid w:val="0040616A"/>
    <w:rsid w:val="0040662A"/>
    <w:rsid w:val="0040677C"/>
    <w:rsid w:val="00407420"/>
    <w:rsid w:val="004074BC"/>
    <w:rsid w:val="0040795E"/>
    <w:rsid w:val="004104B7"/>
    <w:rsid w:val="004105D3"/>
    <w:rsid w:val="00410890"/>
    <w:rsid w:val="00411B1A"/>
    <w:rsid w:val="00413874"/>
    <w:rsid w:val="004139B0"/>
    <w:rsid w:val="00413F4B"/>
    <w:rsid w:val="004140BE"/>
    <w:rsid w:val="00414A47"/>
    <w:rsid w:val="00414E42"/>
    <w:rsid w:val="00414EAD"/>
    <w:rsid w:val="0041575A"/>
    <w:rsid w:val="00415A7C"/>
    <w:rsid w:val="00416826"/>
    <w:rsid w:val="0042000A"/>
    <w:rsid w:val="00420266"/>
    <w:rsid w:val="00420451"/>
    <w:rsid w:val="0042099C"/>
    <w:rsid w:val="0042106E"/>
    <w:rsid w:val="004213EE"/>
    <w:rsid w:val="00421BEB"/>
    <w:rsid w:val="00421E0E"/>
    <w:rsid w:val="0042258F"/>
    <w:rsid w:val="00422ADD"/>
    <w:rsid w:val="004230E3"/>
    <w:rsid w:val="00423A07"/>
    <w:rsid w:val="00423FB6"/>
    <w:rsid w:val="00424221"/>
    <w:rsid w:val="0042491D"/>
    <w:rsid w:val="00424C1B"/>
    <w:rsid w:val="00425A05"/>
    <w:rsid w:val="00425AE5"/>
    <w:rsid w:val="00426464"/>
    <w:rsid w:val="00426E32"/>
    <w:rsid w:val="004278A3"/>
    <w:rsid w:val="00427E74"/>
    <w:rsid w:val="004301FB"/>
    <w:rsid w:val="0043140B"/>
    <w:rsid w:val="0043154E"/>
    <w:rsid w:val="004318F4"/>
    <w:rsid w:val="00431A0D"/>
    <w:rsid w:val="00431C6F"/>
    <w:rsid w:val="0043272B"/>
    <w:rsid w:val="004336A0"/>
    <w:rsid w:val="0043370C"/>
    <w:rsid w:val="00434EF5"/>
    <w:rsid w:val="00436169"/>
    <w:rsid w:val="00436E2B"/>
    <w:rsid w:val="00436F4C"/>
    <w:rsid w:val="0043795A"/>
    <w:rsid w:val="00437CA2"/>
    <w:rsid w:val="0044074B"/>
    <w:rsid w:val="00440986"/>
    <w:rsid w:val="004411EC"/>
    <w:rsid w:val="0044194B"/>
    <w:rsid w:val="00441CB2"/>
    <w:rsid w:val="00442336"/>
    <w:rsid w:val="00442788"/>
    <w:rsid w:val="00442A66"/>
    <w:rsid w:val="0044316C"/>
    <w:rsid w:val="004440EC"/>
    <w:rsid w:val="004456B6"/>
    <w:rsid w:val="00445D4E"/>
    <w:rsid w:val="00445F63"/>
    <w:rsid w:val="004466DE"/>
    <w:rsid w:val="00446E10"/>
    <w:rsid w:val="0044798C"/>
    <w:rsid w:val="004500ED"/>
    <w:rsid w:val="0045044E"/>
    <w:rsid w:val="00450501"/>
    <w:rsid w:val="004507ED"/>
    <w:rsid w:val="00450E19"/>
    <w:rsid w:val="00450EB6"/>
    <w:rsid w:val="0045171E"/>
    <w:rsid w:val="00451803"/>
    <w:rsid w:val="00451C35"/>
    <w:rsid w:val="004534B9"/>
    <w:rsid w:val="0045391A"/>
    <w:rsid w:val="004558F4"/>
    <w:rsid w:val="00455DB8"/>
    <w:rsid w:val="004562DB"/>
    <w:rsid w:val="00456327"/>
    <w:rsid w:val="004579E1"/>
    <w:rsid w:val="00457C05"/>
    <w:rsid w:val="0046020E"/>
    <w:rsid w:val="004603AE"/>
    <w:rsid w:val="00460460"/>
    <w:rsid w:val="004621F4"/>
    <w:rsid w:val="00463F27"/>
    <w:rsid w:val="0046434B"/>
    <w:rsid w:val="00464379"/>
    <w:rsid w:val="00464EA4"/>
    <w:rsid w:val="00466658"/>
    <w:rsid w:val="00466BE4"/>
    <w:rsid w:val="00466FB4"/>
    <w:rsid w:val="00467A43"/>
    <w:rsid w:val="004708DD"/>
    <w:rsid w:val="00470A68"/>
    <w:rsid w:val="004718DC"/>
    <w:rsid w:val="00472AF0"/>
    <w:rsid w:val="00472AFC"/>
    <w:rsid w:val="004737B2"/>
    <w:rsid w:val="0047457F"/>
    <w:rsid w:val="00474731"/>
    <w:rsid w:val="004749CE"/>
    <w:rsid w:val="00476892"/>
    <w:rsid w:val="004769A1"/>
    <w:rsid w:val="0047750F"/>
    <w:rsid w:val="004808CE"/>
    <w:rsid w:val="00481C0E"/>
    <w:rsid w:val="00481C4C"/>
    <w:rsid w:val="00481E62"/>
    <w:rsid w:val="004822E0"/>
    <w:rsid w:val="004825BA"/>
    <w:rsid w:val="00482635"/>
    <w:rsid w:val="00483660"/>
    <w:rsid w:val="004840AD"/>
    <w:rsid w:val="004848E1"/>
    <w:rsid w:val="00484CB9"/>
    <w:rsid w:val="004855F6"/>
    <w:rsid w:val="00487BD5"/>
    <w:rsid w:val="004907DC"/>
    <w:rsid w:val="004907DF"/>
    <w:rsid w:val="00490D4C"/>
    <w:rsid w:val="0049139E"/>
    <w:rsid w:val="0049305F"/>
    <w:rsid w:val="004A141B"/>
    <w:rsid w:val="004A1D48"/>
    <w:rsid w:val="004A1D7B"/>
    <w:rsid w:val="004A2E87"/>
    <w:rsid w:val="004A32D5"/>
    <w:rsid w:val="004A3887"/>
    <w:rsid w:val="004A3F2A"/>
    <w:rsid w:val="004A4F2A"/>
    <w:rsid w:val="004A5061"/>
    <w:rsid w:val="004A5843"/>
    <w:rsid w:val="004A5DCD"/>
    <w:rsid w:val="004A6359"/>
    <w:rsid w:val="004A65B3"/>
    <w:rsid w:val="004A6749"/>
    <w:rsid w:val="004A699D"/>
    <w:rsid w:val="004A6A5F"/>
    <w:rsid w:val="004A6C1D"/>
    <w:rsid w:val="004A6E1E"/>
    <w:rsid w:val="004A727F"/>
    <w:rsid w:val="004B11D1"/>
    <w:rsid w:val="004B342F"/>
    <w:rsid w:val="004B356F"/>
    <w:rsid w:val="004B3636"/>
    <w:rsid w:val="004B48CA"/>
    <w:rsid w:val="004B5016"/>
    <w:rsid w:val="004B5726"/>
    <w:rsid w:val="004B5AB9"/>
    <w:rsid w:val="004B5E66"/>
    <w:rsid w:val="004C0240"/>
    <w:rsid w:val="004C07F0"/>
    <w:rsid w:val="004C0E26"/>
    <w:rsid w:val="004C0FD1"/>
    <w:rsid w:val="004C26BD"/>
    <w:rsid w:val="004C30FC"/>
    <w:rsid w:val="004C36AF"/>
    <w:rsid w:val="004C3E99"/>
    <w:rsid w:val="004C41C3"/>
    <w:rsid w:val="004C423F"/>
    <w:rsid w:val="004C435C"/>
    <w:rsid w:val="004C5556"/>
    <w:rsid w:val="004C613F"/>
    <w:rsid w:val="004C7863"/>
    <w:rsid w:val="004C7DF4"/>
    <w:rsid w:val="004D0268"/>
    <w:rsid w:val="004D1DEF"/>
    <w:rsid w:val="004D36E2"/>
    <w:rsid w:val="004D3F52"/>
    <w:rsid w:val="004D41A6"/>
    <w:rsid w:val="004D535C"/>
    <w:rsid w:val="004D5413"/>
    <w:rsid w:val="004D566C"/>
    <w:rsid w:val="004D5824"/>
    <w:rsid w:val="004D5F07"/>
    <w:rsid w:val="004D732E"/>
    <w:rsid w:val="004E0A21"/>
    <w:rsid w:val="004E0BDC"/>
    <w:rsid w:val="004E1385"/>
    <w:rsid w:val="004E1F26"/>
    <w:rsid w:val="004E2651"/>
    <w:rsid w:val="004E275C"/>
    <w:rsid w:val="004E4258"/>
    <w:rsid w:val="004E431E"/>
    <w:rsid w:val="004E5612"/>
    <w:rsid w:val="004E61BF"/>
    <w:rsid w:val="004E76FF"/>
    <w:rsid w:val="004E7ABB"/>
    <w:rsid w:val="004E7D09"/>
    <w:rsid w:val="004F00B4"/>
    <w:rsid w:val="004F01F8"/>
    <w:rsid w:val="004F0397"/>
    <w:rsid w:val="004F08CE"/>
    <w:rsid w:val="004F19B2"/>
    <w:rsid w:val="004F25F1"/>
    <w:rsid w:val="004F2810"/>
    <w:rsid w:val="004F2E64"/>
    <w:rsid w:val="004F3355"/>
    <w:rsid w:val="004F37EE"/>
    <w:rsid w:val="004F5460"/>
    <w:rsid w:val="004F598B"/>
    <w:rsid w:val="004F610C"/>
    <w:rsid w:val="004F7CAA"/>
    <w:rsid w:val="004F7DBD"/>
    <w:rsid w:val="00500765"/>
    <w:rsid w:val="00501023"/>
    <w:rsid w:val="0050114A"/>
    <w:rsid w:val="005011BB"/>
    <w:rsid w:val="00501471"/>
    <w:rsid w:val="0050260E"/>
    <w:rsid w:val="00502B9D"/>
    <w:rsid w:val="005033D7"/>
    <w:rsid w:val="005034F7"/>
    <w:rsid w:val="005036CC"/>
    <w:rsid w:val="00503E5E"/>
    <w:rsid w:val="005046F1"/>
    <w:rsid w:val="00504C4C"/>
    <w:rsid w:val="00504E98"/>
    <w:rsid w:val="005057CF"/>
    <w:rsid w:val="00505909"/>
    <w:rsid w:val="0050594E"/>
    <w:rsid w:val="0050631C"/>
    <w:rsid w:val="005075BE"/>
    <w:rsid w:val="0050774B"/>
    <w:rsid w:val="00507E4F"/>
    <w:rsid w:val="00510861"/>
    <w:rsid w:val="00510E05"/>
    <w:rsid w:val="0051138E"/>
    <w:rsid w:val="005115B3"/>
    <w:rsid w:val="005116A7"/>
    <w:rsid w:val="005117D8"/>
    <w:rsid w:val="00511FE5"/>
    <w:rsid w:val="00512E11"/>
    <w:rsid w:val="00512F6C"/>
    <w:rsid w:val="00512F83"/>
    <w:rsid w:val="00513677"/>
    <w:rsid w:val="005145B9"/>
    <w:rsid w:val="0051517B"/>
    <w:rsid w:val="005154CA"/>
    <w:rsid w:val="00515668"/>
    <w:rsid w:val="00515AE6"/>
    <w:rsid w:val="00516293"/>
    <w:rsid w:val="005163A5"/>
    <w:rsid w:val="00516823"/>
    <w:rsid w:val="00516D84"/>
    <w:rsid w:val="00516E75"/>
    <w:rsid w:val="0051783B"/>
    <w:rsid w:val="0052027F"/>
    <w:rsid w:val="0052142C"/>
    <w:rsid w:val="00521B73"/>
    <w:rsid w:val="00522489"/>
    <w:rsid w:val="005227C0"/>
    <w:rsid w:val="00523B86"/>
    <w:rsid w:val="00523C2A"/>
    <w:rsid w:val="00524629"/>
    <w:rsid w:val="00524745"/>
    <w:rsid w:val="00525023"/>
    <w:rsid w:val="0052538A"/>
    <w:rsid w:val="005260D0"/>
    <w:rsid w:val="005264C0"/>
    <w:rsid w:val="00526521"/>
    <w:rsid w:val="00526A04"/>
    <w:rsid w:val="00526DE5"/>
    <w:rsid w:val="00526F9A"/>
    <w:rsid w:val="00527EAB"/>
    <w:rsid w:val="00530106"/>
    <w:rsid w:val="00530D1E"/>
    <w:rsid w:val="0053152D"/>
    <w:rsid w:val="00532020"/>
    <w:rsid w:val="0053220B"/>
    <w:rsid w:val="00532906"/>
    <w:rsid w:val="00533949"/>
    <w:rsid w:val="0053472A"/>
    <w:rsid w:val="005348E3"/>
    <w:rsid w:val="00534A60"/>
    <w:rsid w:val="005352BA"/>
    <w:rsid w:val="00535B24"/>
    <w:rsid w:val="00535DA7"/>
    <w:rsid w:val="0053628D"/>
    <w:rsid w:val="00536AA3"/>
    <w:rsid w:val="00536ED0"/>
    <w:rsid w:val="0053774E"/>
    <w:rsid w:val="00537D89"/>
    <w:rsid w:val="0054226D"/>
    <w:rsid w:val="00542334"/>
    <w:rsid w:val="00542BA5"/>
    <w:rsid w:val="00543668"/>
    <w:rsid w:val="00543B76"/>
    <w:rsid w:val="005445A6"/>
    <w:rsid w:val="00545BD4"/>
    <w:rsid w:val="00545EB9"/>
    <w:rsid w:val="00546606"/>
    <w:rsid w:val="00547E20"/>
    <w:rsid w:val="00550047"/>
    <w:rsid w:val="005501B1"/>
    <w:rsid w:val="005507B0"/>
    <w:rsid w:val="00552E33"/>
    <w:rsid w:val="0055348D"/>
    <w:rsid w:val="005534B0"/>
    <w:rsid w:val="0055394E"/>
    <w:rsid w:val="00553E0B"/>
    <w:rsid w:val="005548A0"/>
    <w:rsid w:val="00554AB7"/>
    <w:rsid w:val="00554E10"/>
    <w:rsid w:val="00554E6B"/>
    <w:rsid w:val="00554E90"/>
    <w:rsid w:val="005551CB"/>
    <w:rsid w:val="005554DE"/>
    <w:rsid w:val="005564B0"/>
    <w:rsid w:val="0055756F"/>
    <w:rsid w:val="00560C65"/>
    <w:rsid w:val="00561BCE"/>
    <w:rsid w:val="00561D5F"/>
    <w:rsid w:val="005631CF"/>
    <w:rsid w:val="00563642"/>
    <w:rsid w:val="00563E54"/>
    <w:rsid w:val="00566175"/>
    <w:rsid w:val="00567395"/>
    <w:rsid w:val="005677F4"/>
    <w:rsid w:val="00567B57"/>
    <w:rsid w:val="00571A93"/>
    <w:rsid w:val="00572820"/>
    <w:rsid w:val="00572DAD"/>
    <w:rsid w:val="005731C8"/>
    <w:rsid w:val="0057364D"/>
    <w:rsid w:val="00573876"/>
    <w:rsid w:val="00573F30"/>
    <w:rsid w:val="005742AA"/>
    <w:rsid w:val="005743A6"/>
    <w:rsid w:val="00574CCA"/>
    <w:rsid w:val="00574E13"/>
    <w:rsid w:val="00574E7C"/>
    <w:rsid w:val="00575925"/>
    <w:rsid w:val="0057743E"/>
    <w:rsid w:val="00577A44"/>
    <w:rsid w:val="005801CF"/>
    <w:rsid w:val="00580CD3"/>
    <w:rsid w:val="005811E0"/>
    <w:rsid w:val="005815C4"/>
    <w:rsid w:val="00581A5C"/>
    <w:rsid w:val="00581E73"/>
    <w:rsid w:val="005830BA"/>
    <w:rsid w:val="00583517"/>
    <w:rsid w:val="00584D3C"/>
    <w:rsid w:val="005858C0"/>
    <w:rsid w:val="00585E15"/>
    <w:rsid w:val="00585EFA"/>
    <w:rsid w:val="00586E66"/>
    <w:rsid w:val="005900EF"/>
    <w:rsid w:val="0059031C"/>
    <w:rsid w:val="00590BF7"/>
    <w:rsid w:val="00590CFE"/>
    <w:rsid w:val="00590D23"/>
    <w:rsid w:val="00591176"/>
    <w:rsid w:val="005930EA"/>
    <w:rsid w:val="0059322F"/>
    <w:rsid w:val="00593E53"/>
    <w:rsid w:val="00594FC8"/>
    <w:rsid w:val="005956DE"/>
    <w:rsid w:val="0059693A"/>
    <w:rsid w:val="005969F9"/>
    <w:rsid w:val="00597529"/>
    <w:rsid w:val="00597AEE"/>
    <w:rsid w:val="00597BB3"/>
    <w:rsid w:val="005A00E6"/>
    <w:rsid w:val="005A0FC8"/>
    <w:rsid w:val="005A219F"/>
    <w:rsid w:val="005A2AC4"/>
    <w:rsid w:val="005A2C0C"/>
    <w:rsid w:val="005A3FA8"/>
    <w:rsid w:val="005A4590"/>
    <w:rsid w:val="005A5236"/>
    <w:rsid w:val="005A52F3"/>
    <w:rsid w:val="005A5AD3"/>
    <w:rsid w:val="005A6680"/>
    <w:rsid w:val="005A6C19"/>
    <w:rsid w:val="005A6C84"/>
    <w:rsid w:val="005A7950"/>
    <w:rsid w:val="005B1830"/>
    <w:rsid w:val="005B198D"/>
    <w:rsid w:val="005B1A34"/>
    <w:rsid w:val="005B2048"/>
    <w:rsid w:val="005B3A3E"/>
    <w:rsid w:val="005B41F6"/>
    <w:rsid w:val="005B4255"/>
    <w:rsid w:val="005B468C"/>
    <w:rsid w:val="005B47A3"/>
    <w:rsid w:val="005B62E3"/>
    <w:rsid w:val="005B67CC"/>
    <w:rsid w:val="005B6870"/>
    <w:rsid w:val="005B6ED0"/>
    <w:rsid w:val="005B70D4"/>
    <w:rsid w:val="005B7307"/>
    <w:rsid w:val="005B7B7D"/>
    <w:rsid w:val="005C05DD"/>
    <w:rsid w:val="005C1281"/>
    <w:rsid w:val="005C15B9"/>
    <w:rsid w:val="005C1CAC"/>
    <w:rsid w:val="005C20BE"/>
    <w:rsid w:val="005C314D"/>
    <w:rsid w:val="005C4612"/>
    <w:rsid w:val="005C48F6"/>
    <w:rsid w:val="005C504B"/>
    <w:rsid w:val="005C57F9"/>
    <w:rsid w:val="005C5BAA"/>
    <w:rsid w:val="005C5D6C"/>
    <w:rsid w:val="005C6CF2"/>
    <w:rsid w:val="005C7066"/>
    <w:rsid w:val="005C7122"/>
    <w:rsid w:val="005C72B1"/>
    <w:rsid w:val="005C7D84"/>
    <w:rsid w:val="005C7F36"/>
    <w:rsid w:val="005D0623"/>
    <w:rsid w:val="005D0A65"/>
    <w:rsid w:val="005D3600"/>
    <w:rsid w:val="005D4187"/>
    <w:rsid w:val="005D41CB"/>
    <w:rsid w:val="005D4772"/>
    <w:rsid w:val="005D4BE0"/>
    <w:rsid w:val="005D5044"/>
    <w:rsid w:val="005D51CA"/>
    <w:rsid w:val="005D627E"/>
    <w:rsid w:val="005D6B5C"/>
    <w:rsid w:val="005D6C87"/>
    <w:rsid w:val="005D700D"/>
    <w:rsid w:val="005D7015"/>
    <w:rsid w:val="005D75F3"/>
    <w:rsid w:val="005E038B"/>
    <w:rsid w:val="005E076E"/>
    <w:rsid w:val="005E0CA5"/>
    <w:rsid w:val="005E0E2C"/>
    <w:rsid w:val="005E1CF1"/>
    <w:rsid w:val="005E1EBF"/>
    <w:rsid w:val="005E21C0"/>
    <w:rsid w:val="005E2B10"/>
    <w:rsid w:val="005E2C00"/>
    <w:rsid w:val="005E49E0"/>
    <w:rsid w:val="005E4D7B"/>
    <w:rsid w:val="005E4F6E"/>
    <w:rsid w:val="005E537C"/>
    <w:rsid w:val="005E5630"/>
    <w:rsid w:val="005E5BE8"/>
    <w:rsid w:val="005E6200"/>
    <w:rsid w:val="005E644A"/>
    <w:rsid w:val="005E702C"/>
    <w:rsid w:val="005E7207"/>
    <w:rsid w:val="005F0746"/>
    <w:rsid w:val="005F07C5"/>
    <w:rsid w:val="005F0F98"/>
    <w:rsid w:val="005F1EBB"/>
    <w:rsid w:val="005F1EFE"/>
    <w:rsid w:val="005F3148"/>
    <w:rsid w:val="005F392C"/>
    <w:rsid w:val="005F3CB9"/>
    <w:rsid w:val="005F41E4"/>
    <w:rsid w:val="005F5427"/>
    <w:rsid w:val="005F58E2"/>
    <w:rsid w:val="005F64DB"/>
    <w:rsid w:val="005F7003"/>
    <w:rsid w:val="005F7821"/>
    <w:rsid w:val="005F79EF"/>
    <w:rsid w:val="005F7F38"/>
    <w:rsid w:val="006001D7"/>
    <w:rsid w:val="00600294"/>
    <w:rsid w:val="006008C8"/>
    <w:rsid w:val="00600AE3"/>
    <w:rsid w:val="00601A32"/>
    <w:rsid w:val="00602589"/>
    <w:rsid w:val="00602622"/>
    <w:rsid w:val="00603178"/>
    <w:rsid w:val="00603432"/>
    <w:rsid w:val="0060379C"/>
    <w:rsid w:val="006042E0"/>
    <w:rsid w:val="00604605"/>
    <w:rsid w:val="00604E85"/>
    <w:rsid w:val="00605788"/>
    <w:rsid w:val="0060691E"/>
    <w:rsid w:val="00606A95"/>
    <w:rsid w:val="00607E8F"/>
    <w:rsid w:val="0061184F"/>
    <w:rsid w:val="00611A4F"/>
    <w:rsid w:val="00612508"/>
    <w:rsid w:val="006137F1"/>
    <w:rsid w:val="00613D58"/>
    <w:rsid w:val="00613E2F"/>
    <w:rsid w:val="00613F75"/>
    <w:rsid w:val="00614674"/>
    <w:rsid w:val="006149B0"/>
    <w:rsid w:val="006150CF"/>
    <w:rsid w:val="006156C5"/>
    <w:rsid w:val="00615CB8"/>
    <w:rsid w:val="0061759F"/>
    <w:rsid w:val="00617947"/>
    <w:rsid w:val="0062040C"/>
    <w:rsid w:val="00620F69"/>
    <w:rsid w:val="00621362"/>
    <w:rsid w:val="00621FB2"/>
    <w:rsid w:val="006224E6"/>
    <w:rsid w:val="00622A51"/>
    <w:rsid w:val="00622F03"/>
    <w:rsid w:val="00623D8B"/>
    <w:rsid w:val="00623DDF"/>
    <w:rsid w:val="00623E0C"/>
    <w:rsid w:val="00625A59"/>
    <w:rsid w:val="00625B16"/>
    <w:rsid w:val="0062633B"/>
    <w:rsid w:val="0062673F"/>
    <w:rsid w:val="00626915"/>
    <w:rsid w:val="00626A65"/>
    <w:rsid w:val="00630C80"/>
    <w:rsid w:val="00631643"/>
    <w:rsid w:val="006328E4"/>
    <w:rsid w:val="0063296B"/>
    <w:rsid w:val="00632E01"/>
    <w:rsid w:val="00633144"/>
    <w:rsid w:val="00633B4B"/>
    <w:rsid w:val="0063474E"/>
    <w:rsid w:val="00634C5D"/>
    <w:rsid w:val="00634E6D"/>
    <w:rsid w:val="0063531D"/>
    <w:rsid w:val="00635879"/>
    <w:rsid w:val="00635A70"/>
    <w:rsid w:val="00635D99"/>
    <w:rsid w:val="006400F6"/>
    <w:rsid w:val="00641178"/>
    <w:rsid w:val="006415EC"/>
    <w:rsid w:val="006426B8"/>
    <w:rsid w:val="00642DD3"/>
    <w:rsid w:val="00642F6A"/>
    <w:rsid w:val="00642F6E"/>
    <w:rsid w:val="006433D5"/>
    <w:rsid w:val="006434BF"/>
    <w:rsid w:val="0064538D"/>
    <w:rsid w:val="00645527"/>
    <w:rsid w:val="00645D10"/>
    <w:rsid w:val="006465CC"/>
    <w:rsid w:val="00646853"/>
    <w:rsid w:val="006476C1"/>
    <w:rsid w:val="006500AF"/>
    <w:rsid w:val="00650980"/>
    <w:rsid w:val="00650F95"/>
    <w:rsid w:val="00651068"/>
    <w:rsid w:val="00651DDF"/>
    <w:rsid w:val="00652326"/>
    <w:rsid w:val="006529B1"/>
    <w:rsid w:val="00652B93"/>
    <w:rsid w:val="00652D28"/>
    <w:rsid w:val="0065355E"/>
    <w:rsid w:val="00653DCB"/>
    <w:rsid w:val="006548EB"/>
    <w:rsid w:val="00654EDE"/>
    <w:rsid w:val="006562CE"/>
    <w:rsid w:val="006563EF"/>
    <w:rsid w:val="006566D7"/>
    <w:rsid w:val="00656A57"/>
    <w:rsid w:val="00657271"/>
    <w:rsid w:val="00657790"/>
    <w:rsid w:val="00657851"/>
    <w:rsid w:val="0066061C"/>
    <w:rsid w:val="006607D6"/>
    <w:rsid w:val="0066203A"/>
    <w:rsid w:val="00662335"/>
    <w:rsid w:val="006623B6"/>
    <w:rsid w:val="00662E18"/>
    <w:rsid w:val="00663140"/>
    <w:rsid w:val="00663165"/>
    <w:rsid w:val="006632A2"/>
    <w:rsid w:val="00663DD6"/>
    <w:rsid w:val="00664486"/>
    <w:rsid w:val="006652F9"/>
    <w:rsid w:val="00665EAF"/>
    <w:rsid w:val="00666A0A"/>
    <w:rsid w:val="00667324"/>
    <w:rsid w:val="0066793A"/>
    <w:rsid w:val="00667D9D"/>
    <w:rsid w:val="00670160"/>
    <w:rsid w:val="006703D6"/>
    <w:rsid w:val="00670710"/>
    <w:rsid w:val="00670B6A"/>
    <w:rsid w:val="0067192F"/>
    <w:rsid w:val="00671EF9"/>
    <w:rsid w:val="006721D0"/>
    <w:rsid w:val="00673555"/>
    <w:rsid w:val="00674331"/>
    <w:rsid w:val="0067473A"/>
    <w:rsid w:val="006748AC"/>
    <w:rsid w:val="00674949"/>
    <w:rsid w:val="00674CCF"/>
    <w:rsid w:val="00675818"/>
    <w:rsid w:val="00676890"/>
    <w:rsid w:val="00677414"/>
    <w:rsid w:val="006804C9"/>
    <w:rsid w:val="006806E4"/>
    <w:rsid w:val="00681042"/>
    <w:rsid w:val="0068353C"/>
    <w:rsid w:val="006835A4"/>
    <w:rsid w:val="00683880"/>
    <w:rsid w:val="00683D81"/>
    <w:rsid w:val="00684FAA"/>
    <w:rsid w:val="00685451"/>
    <w:rsid w:val="0068586C"/>
    <w:rsid w:val="006869FC"/>
    <w:rsid w:val="0069029A"/>
    <w:rsid w:val="0069187A"/>
    <w:rsid w:val="006925BF"/>
    <w:rsid w:val="00692DBF"/>
    <w:rsid w:val="006944AB"/>
    <w:rsid w:val="006953C3"/>
    <w:rsid w:val="00695F27"/>
    <w:rsid w:val="00695FC2"/>
    <w:rsid w:val="00696C72"/>
    <w:rsid w:val="006A0609"/>
    <w:rsid w:val="006A0B3F"/>
    <w:rsid w:val="006A0CEE"/>
    <w:rsid w:val="006A0E9A"/>
    <w:rsid w:val="006A269F"/>
    <w:rsid w:val="006A3183"/>
    <w:rsid w:val="006A4649"/>
    <w:rsid w:val="006A54B5"/>
    <w:rsid w:val="006A5A43"/>
    <w:rsid w:val="006A6FC4"/>
    <w:rsid w:val="006B0823"/>
    <w:rsid w:val="006B0AFF"/>
    <w:rsid w:val="006B19F3"/>
    <w:rsid w:val="006B1D28"/>
    <w:rsid w:val="006B2E03"/>
    <w:rsid w:val="006B2E2B"/>
    <w:rsid w:val="006B373F"/>
    <w:rsid w:val="006B4AC9"/>
    <w:rsid w:val="006B5CEE"/>
    <w:rsid w:val="006B752F"/>
    <w:rsid w:val="006C09A9"/>
    <w:rsid w:val="006C0BB6"/>
    <w:rsid w:val="006C215C"/>
    <w:rsid w:val="006C2B0E"/>
    <w:rsid w:val="006C48BC"/>
    <w:rsid w:val="006C71CA"/>
    <w:rsid w:val="006C7C3F"/>
    <w:rsid w:val="006D0564"/>
    <w:rsid w:val="006D07AF"/>
    <w:rsid w:val="006D106C"/>
    <w:rsid w:val="006D2A8C"/>
    <w:rsid w:val="006D2DB0"/>
    <w:rsid w:val="006D313E"/>
    <w:rsid w:val="006D3588"/>
    <w:rsid w:val="006D406F"/>
    <w:rsid w:val="006D41A6"/>
    <w:rsid w:val="006D5B1D"/>
    <w:rsid w:val="006E02AE"/>
    <w:rsid w:val="006E05B3"/>
    <w:rsid w:val="006E09D7"/>
    <w:rsid w:val="006E0E46"/>
    <w:rsid w:val="006E1004"/>
    <w:rsid w:val="006E2664"/>
    <w:rsid w:val="006E28B0"/>
    <w:rsid w:val="006E30FB"/>
    <w:rsid w:val="006E34E7"/>
    <w:rsid w:val="006E3771"/>
    <w:rsid w:val="006E3FA3"/>
    <w:rsid w:val="006E596A"/>
    <w:rsid w:val="006E6CA4"/>
    <w:rsid w:val="006E6CBB"/>
    <w:rsid w:val="006E70B2"/>
    <w:rsid w:val="006E79D4"/>
    <w:rsid w:val="006E7C03"/>
    <w:rsid w:val="006F0068"/>
    <w:rsid w:val="006F0170"/>
    <w:rsid w:val="006F04FE"/>
    <w:rsid w:val="006F165F"/>
    <w:rsid w:val="006F17ED"/>
    <w:rsid w:val="006F1D10"/>
    <w:rsid w:val="006F2362"/>
    <w:rsid w:val="006F4F16"/>
    <w:rsid w:val="006F521F"/>
    <w:rsid w:val="006F5668"/>
    <w:rsid w:val="006F5C0B"/>
    <w:rsid w:val="006F64FA"/>
    <w:rsid w:val="006F6BA8"/>
    <w:rsid w:val="006F70F3"/>
    <w:rsid w:val="007008EE"/>
    <w:rsid w:val="00700D92"/>
    <w:rsid w:val="00700F9D"/>
    <w:rsid w:val="007010AF"/>
    <w:rsid w:val="007012D4"/>
    <w:rsid w:val="00701312"/>
    <w:rsid w:val="00701D14"/>
    <w:rsid w:val="00704809"/>
    <w:rsid w:val="007068A7"/>
    <w:rsid w:val="00706E27"/>
    <w:rsid w:val="00707AC9"/>
    <w:rsid w:val="00710573"/>
    <w:rsid w:val="007106A2"/>
    <w:rsid w:val="00710E3C"/>
    <w:rsid w:val="00710F95"/>
    <w:rsid w:val="0071177C"/>
    <w:rsid w:val="00711973"/>
    <w:rsid w:val="00711FA1"/>
    <w:rsid w:val="007131C4"/>
    <w:rsid w:val="00714040"/>
    <w:rsid w:val="007166C5"/>
    <w:rsid w:val="00716D35"/>
    <w:rsid w:val="00720D39"/>
    <w:rsid w:val="0072137F"/>
    <w:rsid w:val="00721F58"/>
    <w:rsid w:val="00722161"/>
    <w:rsid w:val="007229BE"/>
    <w:rsid w:val="00724B85"/>
    <w:rsid w:val="00725265"/>
    <w:rsid w:val="0072577E"/>
    <w:rsid w:val="00725D6B"/>
    <w:rsid w:val="00725F54"/>
    <w:rsid w:val="00726054"/>
    <w:rsid w:val="007262A8"/>
    <w:rsid w:val="007262C3"/>
    <w:rsid w:val="00726809"/>
    <w:rsid w:val="007272D8"/>
    <w:rsid w:val="00727AD6"/>
    <w:rsid w:val="00730227"/>
    <w:rsid w:val="00730CF9"/>
    <w:rsid w:val="00732824"/>
    <w:rsid w:val="0073367C"/>
    <w:rsid w:val="00734051"/>
    <w:rsid w:val="00734367"/>
    <w:rsid w:val="0073486D"/>
    <w:rsid w:val="007350FD"/>
    <w:rsid w:val="00736DBF"/>
    <w:rsid w:val="00736E32"/>
    <w:rsid w:val="00737522"/>
    <w:rsid w:val="00737A97"/>
    <w:rsid w:val="0074028B"/>
    <w:rsid w:val="0074178E"/>
    <w:rsid w:val="007418CF"/>
    <w:rsid w:val="0074290D"/>
    <w:rsid w:val="00742D5B"/>
    <w:rsid w:val="0074317D"/>
    <w:rsid w:val="007439EE"/>
    <w:rsid w:val="007450DD"/>
    <w:rsid w:val="0074559C"/>
    <w:rsid w:val="00746BD6"/>
    <w:rsid w:val="00747BF5"/>
    <w:rsid w:val="00747CCA"/>
    <w:rsid w:val="007514EF"/>
    <w:rsid w:val="0075174C"/>
    <w:rsid w:val="00751937"/>
    <w:rsid w:val="00751D83"/>
    <w:rsid w:val="0075212D"/>
    <w:rsid w:val="007524EA"/>
    <w:rsid w:val="00752BFC"/>
    <w:rsid w:val="00752E2D"/>
    <w:rsid w:val="00755A02"/>
    <w:rsid w:val="00756955"/>
    <w:rsid w:val="007608C3"/>
    <w:rsid w:val="007608C5"/>
    <w:rsid w:val="00761BC5"/>
    <w:rsid w:val="00761DD8"/>
    <w:rsid w:val="007625FB"/>
    <w:rsid w:val="007628D7"/>
    <w:rsid w:val="00762AD0"/>
    <w:rsid w:val="0076536D"/>
    <w:rsid w:val="007653D9"/>
    <w:rsid w:val="0076646E"/>
    <w:rsid w:val="00766906"/>
    <w:rsid w:val="007670BF"/>
    <w:rsid w:val="0076777E"/>
    <w:rsid w:val="00767C3A"/>
    <w:rsid w:val="007702F6"/>
    <w:rsid w:val="00770C85"/>
    <w:rsid w:val="00770EA3"/>
    <w:rsid w:val="00771412"/>
    <w:rsid w:val="007716B0"/>
    <w:rsid w:val="0077195B"/>
    <w:rsid w:val="00772DE3"/>
    <w:rsid w:val="00773422"/>
    <w:rsid w:val="0077394E"/>
    <w:rsid w:val="007751D5"/>
    <w:rsid w:val="007756D0"/>
    <w:rsid w:val="0077661E"/>
    <w:rsid w:val="00776A4A"/>
    <w:rsid w:val="00776B7E"/>
    <w:rsid w:val="0077746B"/>
    <w:rsid w:val="00777915"/>
    <w:rsid w:val="00777B48"/>
    <w:rsid w:val="00777D02"/>
    <w:rsid w:val="007803D3"/>
    <w:rsid w:val="00780603"/>
    <w:rsid w:val="00780778"/>
    <w:rsid w:val="00780C39"/>
    <w:rsid w:val="00782A03"/>
    <w:rsid w:val="00782CD3"/>
    <w:rsid w:val="00782F9E"/>
    <w:rsid w:val="0078370F"/>
    <w:rsid w:val="00783BCE"/>
    <w:rsid w:val="00783DFE"/>
    <w:rsid w:val="007850A1"/>
    <w:rsid w:val="00785A4D"/>
    <w:rsid w:val="00786518"/>
    <w:rsid w:val="007872FC"/>
    <w:rsid w:val="00790497"/>
    <w:rsid w:val="007907CC"/>
    <w:rsid w:val="00790A6C"/>
    <w:rsid w:val="00790ABE"/>
    <w:rsid w:val="00790F2F"/>
    <w:rsid w:val="007927AC"/>
    <w:rsid w:val="0079456E"/>
    <w:rsid w:val="0079479F"/>
    <w:rsid w:val="0079523F"/>
    <w:rsid w:val="00795642"/>
    <w:rsid w:val="00795925"/>
    <w:rsid w:val="007964BB"/>
    <w:rsid w:val="00796BF7"/>
    <w:rsid w:val="007971CA"/>
    <w:rsid w:val="00797419"/>
    <w:rsid w:val="00797A68"/>
    <w:rsid w:val="007A1B09"/>
    <w:rsid w:val="007A242A"/>
    <w:rsid w:val="007A26C1"/>
    <w:rsid w:val="007A2795"/>
    <w:rsid w:val="007A3AF5"/>
    <w:rsid w:val="007A4253"/>
    <w:rsid w:val="007A43C7"/>
    <w:rsid w:val="007A460B"/>
    <w:rsid w:val="007A476D"/>
    <w:rsid w:val="007A6307"/>
    <w:rsid w:val="007A6A0A"/>
    <w:rsid w:val="007A7005"/>
    <w:rsid w:val="007A713A"/>
    <w:rsid w:val="007A7419"/>
    <w:rsid w:val="007A7BB4"/>
    <w:rsid w:val="007A7D0D"/>
    <w:rsid w:val="007B0286"/>
    <w:rsid w:val="007B036D"/>
    <w:rsid w:val="007B0AF6"/>
    <w:rsid w:val="007B20A6"/>
    <w:rsid w:val="007B3D9A"/>
    <w:rsid w:val="007B45B9"/>
    <w:rsid w:val="007B4619"/>
    <w:rsid w:val="007B4B94"/>
    <w:rsid w:val="007B4CA7"/>
    <w:rsid w:val="007B4CEC"/>
    <w:rsid w:val="007B58B4"/>
    <w:rsid w:val="007B59BB"/>
    <w:rsid w:val="007B5AF2"/>
    <w:rsid w:val="007B611F"/>
    <w:rsid w:val="007B63BB"/>
    <w:rsid w:val="007C1131"/>
    <w:rsid w:val="007C19B4"/>
    <w:rsid w:val="007C19E2"/>
    <w:rsid w:val="007C1B98"/>
    <w:rsid w:val="007C263F"/>
    <w:rsid w:val="007C34A6"/>
    <w:rsid w:val="007C368A"/>
    <w:rsid w:val="007C4272"/>
    <w:rsid w:val="007C4B64"/>
    <w:rsid w:val="007C4F0D"/>
    <w:rsid w:val="007C50E5"/>
    <w:rsid w:val="007C565A"/>
    <w:rsid w:val="007C591B"/>
    <w:rsid w:val="007C6214"/>
    <w:rsid w:val="007C668A"/>
    <w:rsid w:val="007C67A2"/>
    <w:rsid w:val="007C6B0A"/>
    <w:rsid w:val="007C7FAA"/>
    <w:rsid w:val="007C7FB5"/>
    <w:rsid w:val="007D0511"/>
    <w:rsid w:val="007D05B0"/>
    <w:rsid w:val="007D0CDA"/>
    <w:rsid w:val="007D0EEC"/>
    <w:rsid w:val="007D1D94"/>
    <w:rsid w:val="007D223E"/>
    <w:rsid w:val="007D2AC0"/>
    <w:rsid w:val="007D4181"/>
    <w:rsid w:val="007D4A94"/>
    <w:rsid w:val="007D508F"/>
    <w:rsid w:val="007D529E"/>
    <w:rsid w:val="007D5E38"/>
    <w:rsid w:val="007D62FB"/>
    <w:rsid w:val="007D66DE"/>
    <w:rsid w:val="007D6F16"/>
    <w:rsid w:val="007E0A93"/>
    <w:rsid w:val="007E0AF5"/>
    <w:rsid w:val="007E0B45"/>
    <w:rsid w:val="007E0CC8"/>
    <w:rsid w:val="007E152B"/>
    <w:rsid w:val="007E16A6"/>
    <w:rsid w:val="007E16DA"/>
    <w:rsid w:val="007E17EB"/>
    <w:rsid w:val="007E1A07"/>
    <w:rsid w:val="007E1C24"/>
    <w:rsid w:val="007E1CCE"/>
    <w:rsid w:val="007E229D"/>
    <w:rsid w:val="007E29EB"/>
    <w:rsid w:val="007E366C"/>
    <w:rsid w:val="007E499F"/>
    <w:rsid w:val="007E4BEE"/>
    <w:rsid w:val="007E4C8F"/>
    <w:rsid w:val="007E4FE0"/>
    <w:rsid w:val="007E51E9"/>
    <w:rsid w:val="007E5526"/>
    <w:rsid w:val="007E5C47"/>
    <w:rsid w:val="007E5E60"/>
    <w:rsid w:val="007F11BA"/>
    <w:rsid w:val="007F32BF"/>
    <w:rsid w:val="007F373D"/>
    <w:rsid w:val="007F386F"/>
    <w:rsid w:val="007F3EE8"/>
    <w:rsid w:val="007F4984"/>
    <w:rsid w:val="007F5981"/>
    <w:rsid w:val="007F5D3F"/>
    <w:rsid w:val="007F6790"/>
    <w:rsid w:val="007F6B0D"/>
    <w:rsid w:val="007F7523"/>
    <w:rsid w:val="008000C2"/>
    <w:rsid w:val="00800730"/>
    <w:rsid w:val="00800740"/>
    <w:rsid w:val="00800913"/>
    <w:rsid w:val="008020D8"/>
    <w:rsid w:val="008024F0"/>
    <w:rsid w:val="0080269B"/>
    <w:rsid w:val="00802D57"/>
    <w:rsid w:val="00803B83"/>
    <w:rsid w:val="00803F4D"/>
    <w:rsid w:val="008042B6"/>
    <w:rsid w:val="00804AD8"/>
    <w:rsid w:val="008054F3"/>
    <w:rsid w:val="0080600C"/>
    <w:rsid w:val="0080767F"/>
    <w:rsid w:val="00807E8F"/>
    <w:rsid w:val="00810525"/>
    <w:rsid w:val="008121F1"/>
    <w:rsid w:val="008128FF"/>
    <w:rsid w:val="008129F5"/>
    <w:rsid w:val="00812A84"/>
    <w:rsid w:val="00813580"/>
    <w:rsid w:val="0081375A"/>
    <w:rsid w:val="008142DA"/>
    <w:rsid w:val="008143D2"/>
    <w:rsid w:val="0081492C"/>
    <w:rsid w:val="00815C73"/>
    <w:rsid w:val="00815C8F"/>
    <w:rsid w:val="00816D2C"/>
    <w:rsid w:val="008170CC"/>
    <w:rsid w:val="008170D3"/>
    <w:rsid w:val="008175C1"/>
    <w:rsid w:val="00817703"/>
    <w:rsid w:val="00820CF0"/>
    <w:rsid w:val="00821101"/>
    <w:rsid w:val="00821480"/>
    <w:rsid w:val="008227A3"/>
    <w:rsid w:val="00823997"/>
    <w:rsid w:val="00824305"/>
    <w:rsid w:val="008250BC"/>
    <w:rsid w:val="00825BD4"/>
    <w:rsid w:val="0082672F"/>
    <w:rsid w:val="008270CC"/>
    <w:rsid w:val="008272CD"/>
    <w:rsid w:val="00827EF0"/>
    <w:rsid w:val="0083030E"/>
    <w:rsid w:val="00830D0F"/>
    <w:rsid w:val="0083195D"/>
    <w:rsid w:val="00832423"/>
    <w:rsid w:val="00833827"/>
    <w:rsid w:val="00833CF8"/>
    <w:rsid w:val="008340D1"/>
    <w:rsid w:val="00834510"/>
    <w:rsid w:val="00834576"/>
    <w:rsid w:val="008349BC"/>
    <w:rsid w:val="00834A4B"/>
    <w:rsid w:val="00834F55"/>
    <w:rsid w:val="00835C21"/>
    <w:rsid w:val="008360F1"/>
    <w:rsid w:val="00836213"/>
    <w:rsid w:val="00841676"/>
    <w:rsid w:val="00842A80"/>
    <w:rsid w:val="00843296"/>
    <w:rsid w:val="0084335C"/>
    <w:rsid w:val="008453A1"/>
    <w:rsid w:val="00845C77"/>
    <w:rsid w:val="00845DB8"/>
    <w:rsid w:val="008466F8"/>
    <w:rsid w:val="00846D02"/>
    <w:rsid w:val="00846E7C"/>
    <w:rsid w:val="008472B0"/>
    <w:rsid w:val="00847A19"/>
    <w:rsid w:val="00847CA6"/>
    <w:rsid w:val="00847FBC"/>
    <w:rsid w:val="008506DA"/>
    <w:rsid w:val="00850711"/>
    <w:rsid w:val="00851364"/>
    <w:rsid w:val="0085137D"/>
    <w:rsid w:val="00852865"/>
    <w:rsid w:val="00852F81"/>
    <w:rsid w:val="008538D9"/>
    <w:rsid w:val="00853FFA"/>
    <w:rsid w:val="00855367"/>
    <w:rsid w:val="008564CC"/>
    <w:rsid w:val="00856D2F"/>
    <w:rsid w:val="00857E77"/>
    <w:rsid w:val="00857F87"/>
    <w:rsid w:val="008604DB"/>
    <w:rsid w:val="00860574"/>
    <w:rsid w:val="00861A71"/>
    <w:rsid w:val="00863094"/>
    <w:rsid w:val="00863583"/>
    <w:rsid w:val="00863EBB"/>
    <w:rsid w:val="00863F7E"/>
    <w:rsid w:val="00864AD4"/>
    <w:rsid w:val="0086520E"/>
    <w:rsid w:val="00865670"/>
    <w:rsid w:val="00865704"/>
    <w:rsid w:val="00866343"/>
    <w:rsid w:val="008664A4"/>
    <w:rsid w:val="00867EA5"/>
    <w:rsid w:val="00871446"/>
    <w:rsid w:val="0087147C"/>
    <w:rsid w:val="00871A75"/>
    <w:rsid w:val="0087232D"/>
    <w:rsid w:val="008724BC"/>
    <w:rsid w:val="00872E12"/>
    <w:rsid w:val="0087313D"/>
    <w:rsid w:val="0087317E"/>
    <w:rsid w:val="00873727"/>
    <w:rsid w:val="00873794"/>
    <w:rsid w:val="00874065"/>
    <w:rsid w:val="008763F4"/>
    <w:rsid w:val="00876929"/>
    <w:rsid w:val="00876B34"/>
    <w:rsid w:val="00876F7E"/>
    <w:rsid w:val="00876FE9"/>
    <w:rsid w:val="00877BB9"/>
    <w:rsid w:val="00880919"/>
    <w:rsid w:val="00880FF6"/>
    <w:rsid w:val="00881623"/>
    <w:rsid w:val="008822E8"/>
    <w:rsid w:val="00882B32"/>
    <w:rsid w:val="008835D1"/>
    <w:rsid w:val="00885C46"/>
    <w:rsid w:val="008866AE"/>
    <w:rsid w:val="00886EAB"/>
    <w:rsid w:val="00891EC6"/>
    <w:rsid w:val="008920A4"/>
    <w:rsid w:val="008929FB"/>
    <w:rsid w:val="00892DF1"/>
    <w:rsid w:val="0089335A"/>
    <w:rsid w:val="00893390"/>
    <w:rsid w:val="00893EDA"/>
    <w:rsid w:val="00894017"/>
    <w:rsid w:val="0089543E"/>
    <w:rsid w:val="008954E5"/>
    <w:rsid w:val="00896013"/>
    <w:rsid w:val="00896EAD"/>
    <w:rsid w:val="008978E8"/>
    <w:rsid w:val="00897B6C"/>
    <w:rsid w:val="008A06D0"/>
    <w:rsid w:val="008A0A60"/>
    <w:rsid w:val="008A0BB7"/>
    <w:rsid w:val="008A155E"/>
    <w:rsid w:val="008A1A23"/>
    <w:rsid w:val="008A2B8D"/>
    <w:rsid w:val="008A3178"/>
    <w:rsid w:val="008A37F2"/>
    <w:rsid w:val="008A4100"/>
    <w:rsid w:val="008A555B"/>
    <w:rsid w:val="008A5A04"/>
    <w:rsid w:val="008A6117"/>
    <w:rsid w:val="008A6843"/>
    <w:rsid w:val="008A690C"/>
    <w:rsid w:val="008A6F16"/>
    <w:rsid w:val="008A72BB"/>
    <w:rsid w:val="008B158A"/>
    <w:rsid w:val="008B210B"/>
    <w:rsid w:val="008B29AB"/>
    <w:rsid w:val="008B336F"/>
    <w:rsid w:val="008B465A"/>
    <w:rsid w:val="008B49D7"/>
    <w:rsid w:val="008B4EF9"/>
    <w:rsid w:val="008B59AB"/>
    <w:rsid w:val="008B657A"/>
    <w:rsid w:val="008B719E"/>
    <w:rsid w:val="008B7EE8"/>
    <w:rsid w:val="008C0A07"/>
    <w:rsid w:val="008C1AEB"/>
    <w:rsid w:val="008C1B23"/>
    <w:rsid w:val="008C277B"/>
    <w:rsid w:val="008C3210"/>
    <w:rsid w:val="008C322F"/>
    <w:rsid w:val="008C39FF"/>
    <w:rsid w:val="008C3CBE"/>
    <w:rsid w:val="008C4FE9"/>
    <w:rsid w:val="008C51BC"/>
    <w:rsid w:val="008C530F"/>
    <w:rsid w:val="008C5A7D"/>
    <w:rsid w:val="008C66FF"/>
    <w:rsid w:val="008C7565"/>
    <w:rsid w:val="008C7E35"/>
    <w:rsid w:val="008D07DB"/>
    <w:rsid w:val="008D109B"/>
    <w:rsid w:val="008D1306"/>
    <w:rsid w:val="008D1519"/>
    <w:rsid w:val="008D1A27"/>
    <w:rsid w:val="008D1A4F"/>
    <w:rsid w:val="008D24B1"/>
    <w:rsid w:val="008D2520"/>
    <w:rsid w:val="008D311F"/>
    <w:rsid w:val="008D3360"/>
    <w:rsid w:val="008D3B3C"/>
    <w:rsid w:val="008D3D1A"/>
    <w:rsid w:val="008D3F06"/>
    <w:rsid w:val="008D4AAA"/>
    <w:rsid w:val="008D563C"/>
    <w:rsid w:val="008D5E33"/>
    <w:rsid w:val="008D6028"/>
    <w:rsid w:val="008D631F"/>
    <w:rsid w:val="008D7D17"/>
    <w:rsid w:val="008E0484"/>
    <w:rsid w:val="008E0A35"/>
    <w:rsid w:val="008E0D95"/>
    <w:rsid w:val="008E1A88"/>
    <w:rsid w:val="008E235D"/>
    <w:rsid w:val="008E35F0"/>
    <w:rsid w:val="008E36DD"/>
    <w:rsid w:val="008E3FE7"/>
    <w:rsid w:val="008E4317"/>
    <w:rsid w:val="008E46C9"/>
    <w:rsid w:val="008E4A5C"/>
    <w:rsid w:val="008E739E"/>
    <w:rsid w:val="008E7C9E"/>
    <w:rsid w:val="008E7DDF"/>
    <w:rsid w:val="008F00CC"/>
    <w:rsid w:val="008F0A7F"/>
    <w:rsid w:val="008F0B12"/>
    <w:rsid w:val="008F0CD3"/>
    <w:rsid w:val="008F1E4D"/>
    <w:rsid w:val="008F26CD"/>
    <w:rsid w:val="008F2A29"/>
    <w:rsid w:val="008F4317"/>
    <w:rsid w:val="008F4EAE"/>
    <w:rsid w:val="008F5041"/>
    <w:rsid w:val="008F564F"/>
    <w:rsid w:val="008F59EF"/>
    <w:rsid w:val="008F659C"/>
    <w:rsid w:val="008F65E2"/>
    <w:rsid w:val="008F6649"/>
    <w:rsid w:val="008F6ABC"/>
    <w:rsid w:val="00901A3D"/>
    <w:rsid w:val="00902B22"/>
    <w:rsid w:val="0090347F"/>
    <w:rsid w:val="009037B6"/>
    <w:rsid w:val="009039B5"/>
    <w:rsid w:val="00903BC8"/>
    <w:rsid w:val="00904E2B"/>
    <w:rsid w:val="00905341"/>
    <w:rsid w:val="009053C9"/>
    <w:rsid w:val="00905F8C"/>
    <w:rsid w:val="00906472"/>
    <w:rsid w:val="00906ABF"/>
    <w:rsid w:val="00906AC2"/>
    <w:rsid w:val="00911CF9"/>
    <w:rsid w:val="0091421E"/>
    <w:rsid w:val="00914AA7"/>
    <w:rsid w:val="00916023"/>
    <w:rsid w:val="009161EA"/>
    <w:rsid w:val="00916372"/>
    <w:rsid w:val="00916A40"/>
    <w:rsid w:val="00917B91"/>
    <w:rsid w:val="00917E1B"/>
    <w:rsid w:val="009203E2"/>
    <w:rsid w:val="00920FF3"/>
    <w:rsid w:val="009211EF"/>
    <w:rsid w:val="00921ECE"/>
    <w:rsid w:val="0092230E"/>
    <w:rsid w:val="00923221"/>
    <w:rsid w:val="00923B8B"/>
    <w:rsid w:val="0092448D"/>
    <w:rsid w:val="009247D9"/>
    <w:rsid w:val="0092568C"/>
    <w:rsid w:val="009263B9"/>
    <w:rsid w:val="009265E6"/>
    <w:rsid w:val="00926E56"/>
    <w:rsid w:val="00926FAE"/>
    <w:rsid w:val="009271FB"/>
    <w:rsid w:val="00927A99"/>
    <w:rsid w:val="00930F4F"/>
    <w:rsid w:val="00931978"/>
    <w:rsid w:val="009328F5"/>
    <w:rsid w:val="00933D7B"/>
    <w:rsid w:val="00935990"/>
    <w:rsid w:val="00936171"/>
    <w:rsid w:val="009366BC"/>
    <w:rsid w:val="00936B7A"/>
    <w:rsid w:val="00936C18"/>
    <w:rsid w:val="009373B7"/>
    <w:rsid w:val="00940186"/>
    <w:rsid w:val="00940436"/>
    <w:rsid w:val="00941980"/>
    <w:rsid w:val="00941C3A"/>
    <w:rsid w:val="00942EDD"/>
    <w:rsid w:val="00943083"/>
    <w:rsid w:val="009433F9"/>
    <w:rsid w:val="00943495"/>
    <w:rsid w:val="00944403"/>
    <w:rsid w:val="00944544"/>
    <w:rsid w:val="00944ED1"/>
    <w:rsid w:val="0094524D"/>
    <w:rsid w:val="0094529B"/>
    <w:rsid w:val="009452AB"/>
    <w:rsid w:val="009460CA"/>
    <w:rsid w:val="0094714A"/>
    <w:rsid w:val="00947C01"/>
    <w:rsid w:val="009500F4"/>
    <w:rsid w:val="00952436"/>
    <w:rsid w:val="00952E92"/>
    <w:rsid w:val="0095316D"/>
    <w:rsid w:val="009544D1"/>
    <w:rsid w:val="00954705"/>
    <w:rsid w:val="0095554F"/>
    <w:rsid w:val="00955FDC"/>
    <w:rsid w:val="0095638F"/>
    <w:rsid w:val="00957044"/>
    <w:rsid w:val="0095799D"/>
    <w:rsid w:val="00957B44"/>
    <w:rsid w:val="00960559"/>
    <w:rsid w:val="00960CCC"/>
    <w:rsid w:val="00962E41"/>
    <w:rsid w:val="00962FD4"/>
    <w:rsid w:val="00964AF8"/>
    <w:rsid w:val="00965502"/>
    <w:rsid w:val="00966F0E"/>
    <w:rsid w:val="00967FD0"/>
    <w:rsid w:val="009704B3"/>
    <w:rsid w:val="0097055F"/>
    <w:rsid w:val="009714A6"/>
    <w:rsid w:val="009720B6"/>
    <w:rsid w:val="00973D9B"/>
    <w:rsid w:val="00974660"/>
    <w:rsid w:val="00974933"/>
    <w:rsid w:val="00974CBD"/>
    <w:rsid w:val="0097577A"/>
    <w:rsid w:val="00976186"/>
    <w:rsid w:val="0097668C"/>
    <w:rsid w:val="00976CEF"/>
    <w:rsid w:val="00977AED"/>
    <w:rsid w:val="00981402"/>
    <w:rsid w:val="0098174D"/>
    <w:rsid w:val="0098184B"/>
    <w:rsid w:val="00983FAA"/>
    <w:rsid w:val="00984A93"/>
    <w:rsid w:val="00984E54"/>
    <w:rsid w:val="009855FA"/>
    <w:rsid w:val="00986147"/>
    <w:rsid w:val="009868D0"/>
    <w:rsid w:val="00987D85"/>
    <w:rsid w:val="00987E69"/>
    <w:rsid w:val="00990D33"/>
    <w:rsid w:val="00990E54"/>
    <w:rsid w:val="00990FC6"/>
    <w:rsid w:val="00991619"/>
    <w:rsid w:val="00991914"/>
    <w:rsid w:val="00991AEB"/>
    <w:rsid w:val="009922A3"/>
    <w:rsid w:val="00992FAD"/>
    <w:rsid w:val="00994C61"/>
    <w:rsid w:val="00996471"/>
    <w:rsid w:val="00996526"/>
    <w:rsid w:val="00996AE9"/>
    <w:rsid w:val="00996F0D"/>
    <w:rsid w:val="009978AD"/>
    <w:rsid w:val="009A0613"/>
    <w:rsid w:val="009A0623"/>
    <w:rsid w:val="009A12E3"/>
    <w:rsid w:val="009A13F5"/>
    <w:rsid w:val="009A1641"/>
    <w:rsid w:val="009A2D71"/>
    <w:rsid w:val="009A3471"/>
    <w:rsid w:val="009A3518"/>
    <w:rsid w:val="009A39F6"/>
    <w:rsid w:val="009A4D81"/>
    <w:rsid w:val="009A50FC"/>
    <w:rsid w:val="009A5A77"/>
    <w:rsid w:val="009A6A68"/>
    <w:rsid w:val="009A6D45"/>
    <w:rsid w:val="009A7038"/>
    <w:rsid w:val="009A77AE"/>
    <w:rsid w:val="009A7CFB"/>
    <w:rsid w:val="009B051E"/>
    <w:rsid w:val="009B1643"/>
    <w:rsid w:val="009B1D28"/>
    <w:rsid w:val="009B1F11"/>
    <w:rsid w:val="009B245E"/>
    <w:rsid w:val="009B247D"/>
    <w:rsid w:val="009B44C6"/>
    <w:rsid w:val="009B47B3"/>
    <w:rsid w:val="009B4FDD"/>
    <w:rsid w:val="009B5140"/>
    <w:rsid w:val="009B535E"/>
    <w:rsid w:val="009B600A"/>
    <w:rsid w:val="009B6914"/>
    <w:rsid w:val="009B6F40"/>
    <w:rsid w:val="009C00E8"/>
    <w:rsid w:val="009C02BA"/>
    <w:rsid w:val="009C047D"/>
    <w:rsid w:val="009C0C0C"/>
    <w:rsid w:val="009C13A9"/>
    <w:rsid w:val="009C3AF6"/>
    <w:rsid w:val="009C41F8"/>
    <w:rsid w:val="009C4D87"/>
    <w:rsid w:val="009C4E61"/>
    <w:rsid w:val="009C5A90"/>
    <w:rsid w:val="009C5EA9"/>
    <w:rsid w:val="009C611F"/>
    <w:rsid w:val="009C689A"/>
    <w:rsid w:val="009C6D53"/>
    <w:rsid w:val="009C7A77"/>
    <w:rsid w:val="009C7B5D"/>
    <w:rsid w:val="009D0348"/>
    <w:rsid w:val="009D0EDB"/>
    <w:rsid w:val="009D1025"/>
    <w:rsid w:val="009D15BC"/>
    <w:rsid w:val="009D1931"/>
    <w:rsid w:val="009D1C9C"/>
    <w:rsid w:val="009D2467"/>
    <w:rsid w:val="009D3223"/>
    <w:rsid w:val="009D3729"/>
    <w:rsid w:val="009D3F94"/>
    <w:rsid w:val="009D3FE7"/>
    <w:rsid w:val="009D5326"/>
    <w:rsid w:val="009D5408"/>
    <w:rsid w:val="009D5CE1"/>
    <w:rsid w:val="009D7508"/>
    <w:rsid w:val="009D7703"/>
    <w:rsid w:val="009E09F1"/>
    <w:rsid w:val="009E2113"/>
    <w:rsid w:val="009E2821"/>
    <w:rsid w:val="009E3DC8"/>
    <w:rsid w:val="009E4241"/>
    <w:rsid w:val="009E450C"/>
    <w:rsid w:val="009E4FCB"/>
    <w:rsid w:val="009E51C0"/>
    <w:rsid w:val="009E52E5"/>
    <w:rsid w:val="009E6747"/>
    <w:rsid w:val="009E734B"/>
    <w:rsid w:val="009E78BD"/>
    <w:rsid w:val="009E7D1F"/>
    <w:rsid w:val="009F0067"/>
    <w:rsid w:val="009F009F"/>
    <w:rsid w:val="009F0352"/>
    <w:rsid w:val="009F03EF"/>
    <w:rsid w:val="009F060C"/>
    <w:rsid w:val="009F0685"/>
    <w:rsid w:val="009F0907"/>
    <w:rsid w:val="009F0DDE"/>
    <w:rsid w:val="009F1508"/>
    <w:rsid w:val="009F1C4C"/>
    <w:rsid w:val="009F2E61"/>
    <w:rsid w:val="009F39FB"/>
    <w:rsid w:val="009F3DB4"/>
    <w:rsid w:val="009F4699"/>
    <w:rsid w:val="009F4897"/>
    <w:rsid w:val="009F4F9B"/>
    <w:rsid w:val="009F5153"/>
    <w:rsid w:val="009F5538"/>
    <w:rsid w:val="009F5904"/>
    <w:rsid w:val="009F5CA9"/>
    <w:rsid w:val="009F6616"/>
    <w:rsid w:val="009F6F4C"/>
    <w:rsid w:val="009F7402"/>
    <w:rsid w:val="009F74DE"/>
    <w:rsid w:val="009F7CE2"/>
    <w:rsid w:val="009F7D89"/>
    <w:rsid w:val="009F7E66"/>
    <w:rsid w:val="00A00AE6"/>
    <w:rsid w:val="00A00BD4"/>
    <w:rsid w:val="00A00C90"/>
    <w:rsid w:val="00A01E52"/>
    <w:rsid w:val="00A02600"/>
    <w:rsid w:val="00A02AF6"/>
    <w:rsid w:val="00A037C3"/>
    <w:rsid w:val="00A03949"/>
    <w:rsid w:val="00A0477C"/>
    <w:rsid w:val="00A047B5"/>
    <w:rsid w:val="00A0533C"/>
    <w:rsid w:val="00A05551"/>
    <w:rsid w:val="00A05B3E"/>
    <w:rsid w:val="00A05EB5"/>
    <w:rsid w:val="00A0737C"/>
    <w:rsid w:val="00A1044E"/>
    <w:rsid w:val="00A10665"/>
    <w:rsid w:val="00A10780"/>
    <w:rsid w:val="00A11AE0"/>
    <w:rsid w:val="00A11B1C"/>
    <w:rsid w:val="00A12197"/>
    <w:rsid w:val="00A12599"/>
    <w:rsid w:val="00A12D3C"/>
    <w:rsid w:val="00A12F18"/>
    <w:rsid w:val="00A13904"/>
    <w:rsid w:val="00A149A6"/>
    <w:rsid w:val="00A14B7A"/>
    <w:rsid w:val="00A1636B"/>
    <w:rsid w:val="00A16AD5"/>
    <w:rsid w:val="00A17F37"/>
    <w:rsid w:val="00A2065D"/>
    <w:rsid w:val="00A206A7"/>
    <w:rsid w:val="00A2094E"/>
    <w:rsid w:val="00A20E78"/>
    <w:rsid w:val="00A20FD8"/>
    <w:rsid w:val="00A2124E"/>
    <w:rsid w:val="00A22181"/>
    <w:rsid w:val="00A22493"/>
    <w:rsid w:val="00A224EF"/>
    <w:rsid w:val="00A2266B"/>
    <w:rsid w:val="00A2277A"/>
    <w:rsid w:val="00A228AA"/>
    <w:rsid w:val="00A2292A"/>
    <w:rsid w:val="00A22EE9"/>
    <w:rsid w:val="00A230B3"/>
    <w:rsid w:val="00A231DF"/>
    <w:rsid w:val="00A234B4"/>
    <w:rsid w:val="00A2389B"/>
    <w:rsid w:val="00A23AA9"/>
    <w:rsid w:val="00A23C7A"/>
    <w:rsid w:val="00A2500C"/>
    <w:rsid w:val="00A2652C"/>
    <w:rsid w:val="00A27122"/>
    <w:rsid w:val="00A27136"/>
    <w:rsid w:val="00A27AC8"/>
    <w:rsid w:val="00A301DB"/>
    <w:rsid w:val="00A303BF"/>
    <w:rsid w:val="00A3042A"/>
    <w:rsid w:val="00A31087"/>
    <w:rsid w:val="00A31E13"/>
    <w:rsid w:val="00A31E2C"/>
    <w:rsid w:val="00A32F0B"/>
    <w:rsid w:val="00A33DE5"/>
    <w:rsid w:val="00A34359"/>
    <w:rsid w:val="00A3514F"/>
    <w:rsid w:val="00A356E0"/>
    <w:rsid w:val="00A357B9"/>
    <w:rsid w:val="00A35FA7"/>
    <w:rsid w:val="00A364DC"/>
    <w:rsid w:val="00A37A14"/>
    <w:rsid w:val="00A42A06"/>
    <w:rsid w:val="00A440AB"/>
    <w:rsid w:val="00A451FF"/>
    <w:rsid w:val="00A45DD1"/>
    <w:rsid w:val="00A45DF2"/>
    <w:rsid w:val="00A460A1"/>
    <w:rsid w:val="00A4633B"/>
    <w:rsid w:val="00A46391"/>
    <w:rsid w:val="00A470CE"/>
    <w:rsid w:val="00A475DF"/>
    <w:rsid w:val="00A47C64"/>
    <w:rsid w:val="00A47CA9"/>
    <w:rsid w:val="00A50365"/>
    <w:rsid w:val="00A50870"/>
    <w:rsid w:val="00A50D8E"/>
    <w:rsid w:val="00A52AA1"/>
    <w:rsid w:val="00A53CBF"/>
    <w:rsid w:val="00A53EC7"/>
    <w:rsid w:val="00A54FA5"/>
    <w:rsid w:val="00A54FA7"/>
    <w:rsid w:val="00A561D9"/>
    <w:rsid w:val="00A56360"/>
    <w:rsid w:val="00A57631"/>
    <w:rsid w:val="00A57BC5"/>
    <w:rsid w:val="00A57D17"/>
    <w:rsid w:val="00A57F90"/>
    <w:rsid w:val="00A600FF"/>
    <w:rsid w:val="00A60ADB"/>
    <w:rsid w:val="00A62EEF"/>
    <w:rsid w:val="00A6342D"/>
    <w:rsid w:val="00A639B9"/>
    <w:rsid w:val="00A63E50"/>
    <w:rsid w:val="00A64A05"/>
    <w:rsid w:val="00A64B3F"/>
    <w:rsid w:val="00A64EAD"/>
    <w:rsid w:val="00A6572A"/>
    <w:rsid w:val="00A700DB"/>
    <w:rsid w:val="00A70233"/>
    <w:rsid w:val="00A70C7E"/>
    <w:rsid w:val="00A70EDF"/>
    <w:rsid w:val="00A713B2"/>
    <w:rsid w:val="00A72714"/>
    <w:rsid w:val="00A72CC9"/>
    <w:rsid w:val="00A73CBF"/>
    <w:rsid w:val="00A742FA"/>
    <w:rsid w:val="00A747E7"/>
    <w:rsid w:val="00A759D6"/>
    <w:rsid w:val="00A76C27"/>
    <w:rsid w:val="00A7755C"/>
    <w:rsid w:val="00A77585"/>
    <w:rsid w:val="00A8060C"/>
    <w:rsid w:val="00A80EC1"/>
    <w:rsid w:val="00A82C2F"/>
    <w:rsid w:val="00A84340"/>
    <w:rsid w:val="00A84957"/>
    <w:rsid w:val="00A8526F"/>
    <w:rsid w:val="00A87010"/>
    <w:rsid w:val="00A870C3"/>
    <w:rsid w:val="00A8772A"/>
    <w:rsid w:val="00A900E4"/>
    <w:rsid w:val="00A91AF0"/>
    <w:rsid w:val="00A92BE2"/>
    <w:rsid w:val="00A93608"/>
    <w:rsid w:val="00A93766"/>
    <w:rsid w:val="00A93D89"/>
    <w:rsid w:val="00A943E2"/>
    <w:rsid w:val="00A95515"/>
    <w:rsid w:val="00A9590A"/>
    <w:rsid w:val="00A97825"/>
    <w:rsid w:val="00A9788A"/>
    <w:rsid w:val="00AA03FD"/>
    <w:rsid w:val="00AA08E9"/>
    <w:rsid w:val="00AA1C3B"/>
    <w:rsid w:val="00AA27C6"/>
    <w:rsid w:val="00AA2D68"/>
    <w:rsid w:val="00AA31DC"/>
    <w:rsid w:val="00AA44D8"/>
    <w:rsid w:val="00AA5273"/>
    <w:rsid w:val="00AA56E5"/>
    <w:rsid w:val="00AA59BD"/>
    <w:rsid w:val="00AA5EBE"/>
    <w:rsid w:val="00AA5F42"/>
    <w:rsid w:val="00AA660D"/>
    <w:rsid w:val="00AA676D"/>
    <w:rsid w:val="00AA6F7A"/>
    <w:rsid w:val="00AA7207"/>
    <w:rsid w:val="00AA7231"/>
    <w:rsid w:val="00AA7ABE"/>
    <w:rsid w:val="00AB0051"/>
    <w:rsid w:val="00AB04BC"/>
    <w:rsid w:val="00AB076A"/>
    <w:rsid w:val="00AB0858"/>
    <w:rsid w:val="00AB0A8C"/>
    <w:rsid w:val="00AB1081"/>
    <w:rsid w:val="00AB183F"/>
    <w:rsid w:val="00AB2661"/>
    <w:rsid w:val="00AB27E5"/>
    <w:rsid w:val="00AB3E12"/>
    <w:rsid w:val="00AB4095"/>
    <w:rsid w:val="00AB6441"/>
    <w:rsid w:val="00AC0672"/>
    <w:rsid w:val="00AC0D39"/>
    <w:rsid w:val="00AC1D9B"/>
    <w:rsid w:val="00AC2632"/>
    <w:rsid w:val="00AC508E"/>
    <w:rsid w:val="00AC5B10"/>
    <w:rsid w:val="00AC5B63"/>
    <w:rsid w:val="00AC6F40"/>
    <w:rsid w:val="00AC761D"/>
    <w:rsid w:val="00AD0E6E"/>
    <w:rsid w:val="00AD119C"/>
    <w:rsid w:val="00AD27BF"/>
    <w:rsid w:val="00AD2E87"/>
    <w:rsid w:val="00AD2EEA"/>
    <w:rsid w:val="00AD3583"/>
    <w:rsid w:val="00AD39D9"/>
    <w:rsid w:val="00AD3F26"/>
    <w:rsid w:val="00AD5B75"/>
    <w:rsid w:val="00AD5FDB"/>
    <w:rsid w:val="00AD62F1"/>
    <w:rsid w:val="00AD73B2"/>
    <w:rsid w:val="00AE00D6"/>
    <w:rsid w:val="00AE06EA"/>
    <w:rsid w:val="00AE0AEA"/>
    <w:rsid w:val="00AE0EC2"/>
    <w:rsid w:val="00AE11FA"/>
    <w:rsid w:val="00AE166B"/>
    <w:rsid w:val="00AE1ABC"/>
    <w:rsid w:val="00AE1D36"/>
    <w:rsid w:val="00AE2C92"/>
    <w:rsid w:val="00AE2E92"/>
    <w:rsid w:val="00AE2E9B"/>
    <w:rsid w:val="00AE34B6"/>
    <w:rsid w:val="00AE34C9"/>
    <w:rsid w:val="00AE36B7"/>
    <w:rsid w:val="00AE3EA6"/>
    <w:rsid w:val="00AE4E90"/>
    <w:rsid w:val="00AE6038"/>
    <w:rsid w:val="00AE6283"/>
    <w:rsid w:val="00AE64B2"/>
    <w:rsid w:val="00AE6E53"/>
    <w:rsid w:val="00AE75F1"/>
    <w:rsid w:val="00AE799E"/>
    <w:rsid w:val="00AF0CA0"/>
    <w:rsid w:val="00AF0DD5"/>
    <w:rsid w:val="00AF1BC9"/>
    <w:rsid w:val="00AF1DE9"/>
    <w:rsid w:val="00AF2187"/>
    <w:rsid w:val="00AF29CE"/>
    <w:rsid w:val="00AF301C"/>
    <w:rsid w:val="00AF359E"/>
    <w:rsid w:val="00AF384F"/>
    <w:rsid w:val="00AF3E27"/>
    <w:rsid w:val="00AF4364"/>
    <w:rsid w:val="00AF5290"/>
    <w:rsid w:val="00AF52DB"/>
    <w:rsid w:val="00AF5937"/>
    <w:rsid w:val="00AF689B"/>
    <w:rsid w:val="00AF6A9C"/>
    <w:rsid w:val="00AF729F"/>
    <w:rsid w:val="00AF739C"/>
    <w:rsid w:val="00B01738"/>
    <w:rsid w:val="00B01864"/>
    <w:rsid w:val="00B019CE"/>
    <w:rsid w:val="00B01D34"/>
    <w:rsid w:val="00B01E43"/>
    <w:rsid w:val="00B026E3"/>
    <w:rsid w:val="00B04380"/>
    <w:rsid w:val="00B0526B"/>
    <w:rsid w:val="00B055ED"/>
    <w:rsid w:val="00B0590C"/>
    <w:rsid w:val="00B05AC6"/>
    <w:rsid w:val="00B062E6"/>
    <w:rsid w:val="00B06902"/>
    <w:rsid w:val="00B06C54"/>
    <w:rsid w:val="00B06CDA"/>
    <w:rsid w:val="00B0796D"/>
    <w:rsid w:val="00B07989"/>
    <w:rsid w:val="00B07FD0"/>
    <w:rsid w:val="00B105FC"/>
    <w:rsid w:val="00B10DD6"/>
    <w:rsid w:val="00B11C18"/>
    <w:rsid w:val="00B11C57"/>
    <w:rsid w:val="00B11D60"/>
    <w:rsid w:val="00B1236B"/>
    <w:rsid w:val="00B12951"/>
    <w:rsid w:val="00B12C30"/>
    <w:rsid w:val="00B13495"/>
    <w:rsid w:val="00B13DB4"/>
    <w:rsid w:val="00B14482"/>
    <w:rsid w:val="00B14A52"/>
    <w:rsid w:val="00B15E1F"/>
    <w:rsid w:val="00B15FEB"/>
    <w:rsid w:val="00B17062"/>
    <w:rsid w:val="00B1716B"/>
    <w:rsid w:val="00B175E0"/>
    <w:rsid w:val="00B20361"/>
    <w:rsid w:val="00B20D48"/>
    <w:rsid w:val="00B215EB"/>
    <w:rsid w:val="00B21A8A"/>
    <w:rsid w:val="00B226B1"/>
    <w:rsid w:val="00B2288B"/>
    <w:rsid w:val="00B22BDE"/>
    <w:rsid w:val="00B23120"/>
    <w:rsid w:val="00B23AAD"/>
    <w:rsid w:val="00B243F5"/>
    <w:rsid w:val="00B24603"/>
    <w:rsid w:val="00B2577D"/>
    <w:rsid w:val="00B2589D"/>
    <w:rsid w:val="00B25C83"/>
    <w:rsid w:val="00B26ACA"/>
    <w:rsid w:val="00B30854"/>
    <w:rsid w:val="00B30CB9"/>
    <w:rsid w:val="00B31720"/>
    <w:rsid w:val="00B325F2"/>
    <w:rsid w:val="00B32CBD"/>
    <w:rsid w:val="00B333B9"/>
    <w:rsid w:val="00B3358C"/>
    <w:rsid w:val="00B33668"/>
    <w:rsid w:val="00B34082"/>
    <w:rsid w:val="00B3464B"/>
    <w:rsid w:val="00B35734"/>
    <w:rsid w:val="00B35791"/>
    <w:rsid w:val="00B35901"/>
    <w:rsid w:val="00B35906"/>
    <w:rsid w:val="00B35D5B"/>
    <w:rsid w:val="00B35F38"/>
    <w:rsid w:val="00B3601D"/>
    <w:rsid w:val="00B3658F"/>
    <w:rsid w:val="00B37704"/>
    <w:rsid w:val="00B40030"/>
    <w:rsid w:val="00B4017E"/>
    <w:rsid w:val="00B40AC7"/>
    <w:rsid w:val="00B416EF"/>
    <w:rsid w:val="00B41A4E"/>
    <w:rsid w:val="00B42A25"/>
    <w:rsid w:val="00B42B15"/>
    <w:rsid w:val="00B42E39"/>
    <w:rsid w:val="00B42E5A"/>
    <w:rsid w:val="00B44482"/>
    <w:rsid w:val="00B444E1"/>
    <w:rsid w:val="00B44556"/>
    <w:rsid w:val="00B446EC"/>
    <w:rsid w:val="00B447AE"/>
    <w:rsid w:val="00B452DE"/>
    <w:rsid w:val="00B45C04"/>
    <w:rsid w:val="00B461FD"/>
    <w:rsid w:val="00B46206"/>
    <w:rsid w:val="00B46329"/>
    <w:rsid w:val="00B46588"/>
    <w:rsid w:val="00B468A5"/>
    <w:rsid w:val="00B46A52"/>
    <w:rsid w:val="00B46D00"/>
    <w:rsid w:val="00B46D82"/>
    <w:rsid w:val="00B4700C"/>
    <w:rsid w:val="00B473E1"/>
    <w:rsid w:val="00B47EC3"/>
    <w:rsid w:val="00B5010F"/>
    <w:rsid w:val="00B5133E"/>
    <w:rsid w:val="00B52B26"/>
    <w:rsid w:val="00B52EC5"/>
    <w:rsid w:val="00B53F5E"/>
    <w:rsid w:val="00B55141"/>
    <w:rsid w:val="00B559B0"/>
    <w:rsid w:val="00B56157"/>
    <w:rsid w:val="00B56B81"/>
    <w:rsid w:val="00B56C70"/>
    <w:rsid w:val="00B57502"/>
    <w:rsid w:val="00B577EC"/>
    <w:rsid w:val="00B57D6E"/>
    <w:rsid w:val="00B60F02"/>
    <w:rsid w:val="00B60F20"/>
    <w:rsid w:val="00B633A6"/>
    <w:rsid w:val="00B63608"/>
    <w:rsid w:val="00B64C40"/>
    <w:rsid w:val="00B6513B"/>
    <w:rsid w:val="00B65871"/>
    <w:rsid w:val="00B6588A"/>
    <w:rsid w:val="00B65A69"/>
    <w:rsid w:val="00B65C12"/>
    <w:rsid w:val="00B65E6D"/>
    <w:rsid w:val="00B66517"/>
    <w:rsid w:val="00B67163"/>
    <w:rsid w:val="00B674FF"/>
    <w:rsid w:val="00B67822"/>
    <w:rsid w:val="00B67C20"/>
    <w:rsid w:val="00B711EB"/>
    <w:rsid w:val="00B714F7"/>
    <w:rsid w:val="00B71597"/>
    <w:rsid w:val="00B717C8"/>
    <w:rsid w:val="00B7188E"/>
    <w:rsid w:val="00B71D78"/>
    <w:rsid w:val="00B730F0"/>
    <w:rsid w:val="00B73A21"/>
    <w:rsid w:val="00B73D9F"/>
    <w:rsid w:val="00B7447F"/>
    <w:rsid w:val="00B74ECC"/>
    <w:rsid w:val="00B74F54"/>
    <w:rsid w:val="00B75185"/>
    <w:rsid w:val="00B75265"/>
    <w:rsid w:val="00B75E21"/>
    <w:rsid w:val="00B764B9"/>
    <w:rsid w:val="00B76527"/>
    <w:rsid w:val="00B77DAD"/>
    <w:rsid w:val="00B77DD7"/>
    <w:rsid w:val="00B80856"/>
    <w:rsid w:val="00B8133E"/>
    <w:rsid w:val="00B81684"/>
    <w:rsid w:val="00B82883"/>
    <w:rsid w:val="00B83CE6"/>
    <w:rsid w:val="00B853E1"/>
    <w:rsid w:val="00B86460"/>
    <w:rsid w:val="00B877D6"/>
    <w:rsid w:val="00B87F70"/>
    <w:rsid w:val="00B90778"/>
    <w:rsid w:val="00B90D9F"/>
    <w:rsid w:val="00B90FBC"/>
    <w:rsid w:val="00B91D02"/>
    <w:rsid w:val="00B9217F"/>
    <w:rsid w:val="00B926C4"/>
    <w:rsid w:val="00B92982"/>
    <w:rsid w:val="00B92BEE"/>
    <w:rsid w:val="00B93315"/>
    <w:rsid w:val="00B93DF4"/>
    <w:rsid w:val="00B94010"/>
    <w:rsid w:val="00B94492"/>
    <w:rsid w:val="00B94823"/>
    <w:rsid w:val="00B95298"/>
    <w:rsid w:val="00B95996"/>
    <w:rsid w:val="00B963ED"/>
    <w:rsid w:val="00B9689D"/>
    <w:rsid w:val="00B96B50"/>
    <w:rsid w:val="00B972FC"/>
    <w:rsid w:val="00B9799D"/>
    <w:rsid w:val="00BA1433"/>
    <w:rsid w:val="00BA189B"/>
    <w:rsid w:val="00BA2138"/>
    <w:rsid w:val="00BA21D1"/>
    <w:rsid w:val="00BA2265"/>
    <w:rsid w:val="00BA2812"/>
    <w:rsid w:val="00BA478B"/>
    <w:rsid w:val="00BA48A8"/>
    <w:rsid w:val="00BA4D56"/>
    <w:rsid w:val="00BA55B4"/>
    <w:rsid w:val="00BA5863"/>
    <w:rsid w:val="00BA634E"/>
    <w:rsid w:val="00BA76F4"/>
    <w:rsid w:val="00BB0399"/>
    <w:rsid w:val="00BB06C3"/>
    <w:rsid w:val="00BB1998"/>
    <w:rsid w:val="00BB1DCE"/>
    <w:rsid w:val="00BB2FDD"/>
    <w:rsid w:val="00BB32A5"/>
    <w:rsid w:val="00BB3690"/>
    <w:rsid w:val="00BB3F88"/>
    <w:rsid w:val="00BB4E75"/>
    <w:rsid w:val="00BB574C"/>
    <w:rsid w:val="00BB586C"/>
    <w:rsid w:val="00BB63CC"/>
    <w:rsid w:val="00BB6BBC"/>
    <w:rsid w:val="00BB73B4"/>
    <w:rsid w:val="00BB772A"/>
    <w:rsid w:val="00BB7C9B"/>
    <w:rsid w:val="00BB7CB3"/>
    <w:rsid w:val="00BC0C43"/>
    <w:rsid w:val="00BC0DFA"/>
    <w:rsid w:val="00BC0E67"/>
    <w:rsid w:val="00BC0F5F"/>
    <w:rsid w:val="00BC199A"/>
    <w:rsid w:val="00BC2559"/>
    <w:rsid w:val="00BC29AE"/>
    <w:rsid w:val="00BC315D"/>
    <w:rsid w:val="00BC41A1"/>
    <w:rsid w:val="00BC536B"/>
    <w:rsid w:val="00BC550B"/>
    <w:rsid w:val="00BC5945"/>
    <w:rsid w:val="00BC760B"/>
    <w:rsid w:val="00BC795B"/>
    <w:rsid w:val="00BC7ED3"/>
    <w:rsid w:val="00BD0997"/>
    <w:rsid w:val="00BD1BA0"/>
    <w:rsid w:val="00BD1E74"/>
    <w:rsid w:val="00BD2516"/>
    <w:rsid w:val="00BD4972"/>
    <w:rsid w:val="00BD4EBE"/>
    <w:rsid w:val="00BD52AB"/>
    <w:rsid w:val="00BD6F70"/>
    <w:rsid w:val="00BE072E"/>
    <w:rsid w:val="00BE0C4E"/>
    <w:rsid w:val="00BE0C7D"/>
    <w:rsid w:val="00BE15E2"/>
    <w:rsid w:val="00BE16D7"/>
    <w:rsid w:val="00BE1717"/>
    <w:rsid w:val="00BE1F87"/>
    <w:rsid w:val="00BE2AA9"/>
    <w:rsid w:val="00BE3070"/>
    <w:rsid w:val="00BE3660"/>
    <w:rsid w:val="00BE3F5F"/>
    <w:rsid w:val="00BE3FC4"/>
    <w:rsid w:val="00BE4BD6"/>
    <w:rsid w:val="00BE4FF8"/>
    <w:rsid w:val="00BE56E2"/>
    <w:rsid w:val="00BE59BA"/>
    <w:rsid w:val="00BE68F3"/>
    <w:rsid w:val="00BE6B03"/>
    <w:rsid w:val="00BE6E3A"/>
    <w:rsid w:val="00BE6F08"/>
    <w:rsid w:val="00BE788A"/>
    <w:rsid w:val="00BF06EF"/>
    <w:rsid w:val="00BF0729"/>
    <w:rsid w:val="00BF1890"/>
    <w:rsid w:val="00BF2208"/>
    <w:rsid w:val="00BF2613"/>
    <w:rsid w:val="00BF297C"/>
    <w:rsid w:val="00BF2AB1"/>
    <w:rsid w:val="00BF2E84"/>
    <w:rsid w:val="00BF3881"/>
    <w:rsid w:val="00BF4978"/>
    <w:rsid w:val="00BF4ECF"/>
    <w:rsid w:val="00BF551E"/>
    <w:rsid w:val="00BF5D40"/>
    <w:rsid w:val="00BF654D"/>
    <w:rsid w:val="00BF67E9"/>
    <w:rsid w:val="00BF6DC5"/>
    <w:rsid w:val="00C000E3"/>
    <w:rsid w:val="00C00415"/>
    <w:rsid w:val="00C0048E"/>
    <w:rsid w:val="00C0098E"/>
    <w:rsid w:val="00C00C53"/>
    <w:rsid w:val="00C014C3"/>
    <w:rsid w:val="00C01CA8"/>
    <w:rsid w:val="00C01D12"/>
    <w:rsid w:val="00C021B6"/>
    <w:rsid w:val="00C0264B"/>
    <w:rsid w:val="00C02B1D"/>
    <w:rsid w:val="00C031D0"/>
    <w:rsid w:val="00C03B57"/>
    <w:rsid w:val="00C03BAC"/>
    <w:rsid w:val="00C041AD"/>
    <w:rsid w:val="00C044BF"/>
    <w:rsid w:val="00C04A75"/>
    <w:rsid w:val="00C05F34"/>
    <w:rsid w:val="00C0604C"/>
    <w:rsid w:val="00C07B85"/>
    <w:rsid w:val="00C07D03"/>
    <w:rsid w:val="00C07E4E"/>
    <w:rsid w:val="00C10F8D"/>
    <w:rsid w:val="00C121D1"/>
    <w:rsid w:val="00C12BE2"/>
    <w:rsid w:val="00C138CF"/>
    <w:rsid w:val="00C13993"/>
    <w:rsid w:val="00C146D5"/>
    <w:rsid w:val="00C14897"/>
    <w:rsid w:val="00C15FB2"/>
    <w:rsid w:val="00C162BF"/>
    <w:rsid w:val="00C1756C"/>
    <w:rsid w:val="00C20B8E"/>
    <w:rsid w:val="00C22E0C"/>
    <w:rsid w:val="00C2348B"/>
    <w:rsid w:val="00C23C73"/>
    <w:rsid w:val="00C244D3"/>
    <w:rsid w:val="00C24C2D"/>
    <w:rsid w:val="00C2567A"/>
    <w:rsid w:val="00C256C9"/>
    <w:rsid w:val="00C27183"/>
    <w:rsid w:val="00C274E5"/>
    <w:rsid w:val="00C27732"/>
    <w:rsid w:val="00C27815"/>
    <w:rsid w:val="00C27B81"/>
    <w:rsid w:val="00C27C6B"/>
    <w:rsid w:val="00C306CE"/>
    <w:rsid w:val="00C31656"/>
    <w:rsid w:val="00C32104"/>
    <w:rsid w:val="00C3235C"/>
    <w:rsid w:val="00C33668"/>
    <w:rsid w:val="00C33C75"/>
    <w:rsid w:val="00C34A91"/>
    <w:rsid w:val="00C34D27"/>
    <w:rsid w:val="00C358C7"/>
    <w:rsid w:val="00C3625F"/>
    <w:rsid w:val="00C36462"/>
    <w:rsid w:val="00C364B4"/>
    <w:rsid w:val="00C375D3"/>
    <w:rsid w:val="00C40196"/>
    <w:rsid w:val="00C40C34"/>
    <w:rsid w:val="00C41557"/>
    <w:rsid w:val="00C417CD"/>
    <w:rsid w:val="00C419B3"/>
    <w:rsid w:val="00C4278C"/>
    <w:rsid w:val="00C427E7"/>
    <w:rsid w:val="00C43079"/>
    <w:rsid w:val="00C4325C"/>
    <w:rsid w:val="00C433EA"/>
    <w:rsid w:val="00C439FD"/>
    <w:rsid w:val="00C43C97"/>
    <w:rsid w:val="00C44A73"/>
    <w:rsid w:val="00C45007"/>
    <w:rsid w:val="00C450CF"/>
    <w:rsid w:val="00C46E9E"/>
    <w:rsid w:val="00C471E0"/>
    <w:rsid w:val="00C47421"/>
    <w:rsid w:val="00C47519"/>
    <w:rsid w:val="00C479DC"/>
    <w:rsid w:val="00C47BDE"/>
    <w:rsid w:val="00C506DE"/>
    <w:rsid w:val="00C50942"/>
    <w:rsid w:val="00C50D90"/>
    <w:rsid w:val="00C51DF7"/>
    <w:rsid w:val="00C52748"/>
    <w:rsid w:val="00C52D56"/>
    <w:rsid w:val="00C53746"/>
    <w:rsid w:val="00C537E0"/>
    <w:rsid w:val="00C538BE"/>
    <w:rsid w:val="00C53CD2"/>
    <w:rsid w:val="00C54191"/>
    <w:rsid w:val="00C56985"/>
    <w:rsid w:val="00C5760F"/>
    <w:rsid w:val="00C579DD"/>
    <w:rsid w:val="00C60D03"/>
    <w:rsid w:val="00C612E8"/>
    <w:rsid w:val="00C623D8"/>
    <w:rsid w:val="00C623ED"/>
    <w:rsid w:val="00C62870"/>
    <w:rsid w:val="00C63161"/>
    <w:rsid w:val="00C6325E"/>
    <w:rsid w:val="00C645E0"/>
    <w:rsid w:val="00C648BD"/>
    <w:rsid w:val="00C64D50"/>
    <w:rsid w:val="00C65911"/>
    <w:rsid w:val="00C65C33"/>
    <w:rsid w:val="00C670DB"/>
    <w:rsid w:val="00C67D3D"/>
    <w:rsid w:val="00C67F4C"/>
    <w:rsid w:val="00C67F8D"/>
    <w:rsid w:val="00C70566"/>
    <w:rsid w:val="00C70E9D"/>
    <w:rsid w:val="00C71468"/>
    <w:rsid w:val="00C72B5B"/>
    <w:rsid w:val="00C72FF9"/>
    <w:rsid w:val="00C73A0A"/>
    <w:rsid w:val="00C74429"/>
    <w:rsid w:val="00C74E1A"/>
    <w:rsid w:val="00C750F7"/>
    <w:rsid w:val="00C7535E"/>
    <w:rsid w:val="00C7603E"/>
    <w:rsid w:val="00C76437"/>
    <w:rsid w:val="00C767EB"/>
    <w:rsid w:val="00C76BD9"/>
    <w:rsid w:val="00C76C9A"/>
    <w:rsid w:val="00C76D77"/>
    <w:rsid w:val="00C76E79"/>
    <w:rsid w:val="00C77616"/>
    <w:rsid w:val="00C7785D"/>
    <w:rsid w:val="00C778BA"/>
    <w:rsid w:val="00C80A49"/>
    <w:rsid w:val="00C819C7"/>
    <w:rsid w:val="00C81E6F"/>
    <w:rsid w:val="00C81EC0"/>
    <w:rsid w:val="00C826D1"/>
    <w:rsid w:val="00C833D9"/>
    <w:rsid w:val="00C837A8"/>
    <w:rsid w:val="00C837E7"/>
    <w:rsid w:val="00C8490D"/>
    <w:rsid w:val="00C84B28"/>
    <w:rsid w:val="00C85433"/>
    <w:rsid w:val="00C855BF"/>
    <w:rsid w:val="00C85605"/>
    <w:rsid w:val="00C87986"/>
    <w:rsid w:val="00C90DAC"/>
    <w:rsid w:val="00C91847"/>
    <w:rsid w:val="00C91B5D"/>
    <w:rsid w:val="00C91F0A"/>
    <w:rsid w:val="00C9235E"/>
    <w:rsid w:val="00C92D06"/>
    <w:rsid w:val="00C92EC2"/>
    <w:rsid w:val="00C94265"/>
    <w:rsid w:val="00C9504C"/>
    <w:rsid w:val="00C96232"/>
    <w:rsid w:val="00C978C8"/>
    <w:rsid w:val="00C979BD"/>
    <w:rsid w:val="00CA011A"/>
    <w:rsid w:val="00CA021E"/>
    <w:rsid w:val="00CA03F3"/>
    <w:rsid w:val="00CA214A"/>
    <w:rsid w:val="00CA2891"/>
    <w:rsid w:val="00CA2BF1"/>
    <w:rsid w:val="00CA2C80"/>
    <w:rsid w:val="00CA3189"/>
    <w:rsid w:val="00CA3591"/>
    <w:rsid w:val="00CA3994"/>
    <w:rsid w:val="00CA511F"/>
    <w:rsid w:val="00CA52FF"/>
    <w:rsid w:val="00CA6701"/>
    <w:rsid w:val="00CA7C50"/>
    <w:rsid w:val="00CB0115"/>
    <w:rsid w:val="00CB0761"/>
    <w:rsid w:val="00CB0878"/>
    <w:rsid w:val="00CB1084"/>
    <w:rsid w:val="00CB15EC"/>
    <w:rsid w:val="00CB300E"/>
    <w:rsid w:val="00CB389A"/>
    <w:rsid w:val="00CB45E4"/>
    <w:rsid w:val="00CB5320"/>
    <w:rsid w:val="00CB54C0"/>
    <w:rsid w:val="00CB6686"/>
    <w:rsid w:val="00CB6B36"/>
    <w:rsid w:val="00CB71BF"/>
    <w:rsid w:val="00CB7231"/>
    <w:rsid w:val="00CB7C4C"/>
    <w:rsid w:val="00CC003C"/>
    <w:rsid w:val="00CC02EE"/>
    <w:rsid w:val="00CC0CA3"/>
    <w:rsid w:val="00CC110B"/>
    <w:rsid w:val="00CC12C3"/>
    <w:rsid w:val="00CC16D1"/>
    <w:rsid w:val="00CC1942"/>
    <w:rsid w:val="00CC1E49"/>
    <w:rsid w:val="00CC2878"/>
    <w:rsid w:val="00CC355E"/>
    <w:rsid w:val="00CC36E2"/>
    <w:rsid w:val="00CC3891"/>
    <w:rsid w:val="00CC3ADA"/>
    <w:rsid w:val="00CC4561"/>
    <w:rsid w:val="00CC4755"/>
    <w:rsid w:val="00CC4C5F"/>
    <w:rsid w:val="00CC523D"/>
    <w:rsid w:val="00CC5D5D"/>
    <w:rsid w:val="00CC6D0F"/>
    <w:rsid w:val="00CC6E3E"/>
    <w:rsid w:val="00CC6F5A"/>
    <w:rsid w:val="00CC70FE"/>
    <w:rsid w:val="00CC7234"/>
    <w:rsid w:val="00CC73D1"/>
    <w:rsid w:val="00CC7C74"/>
    <w:rsid w:val="00CD1028"/>
    <w:rsid w:val="00CD20A7"/>
    <w:rsid w:val="00CD3920"/>
    <w:rsid w:val="00CD4216"/>
    <w:rsid w:val="00CD4AC0"/>
    <w:rsid w:val="00CD4EBA"/>
    <w:rsid w:val="00CD5AEF"/>
    <w:rsid w:val="00CD5E62"/>
    <w:rsid w:val="00CD6DD0"/>
    <w:rsid w:val="00CD7655"/>
    <w:rsid w:val="00CE0251"/>
    <w:rsid w:val="00CE0E02"/>
    <w:rsid w:val="00CE0E47"/>
    <w:rsid w:val="00CE2145"/>
    <w:rsid w:val="00CE6208"/>
    <w:rsid w:val="00CE63CF"/>
    <w:rsid w:val="00CE6918"/>
    <w:rsid w:val="00CE6925"/>
    <w:rsid w:val="00CE7724"/>
    <w:rsid w:val="00CE7918"/>
    <w:rsid w:val="00CE7D2A"/>
    <w:rsid w:val="00CE7F4C"/>
    <w:rsid w:val="00CF0159"/>
    <w:rsid w:val="00CF1823"/>
    <w:rsid w:val="00CF1AC2"/>
    <w:rsid w:val="00CF2328"/>
    <w:rsid w:val="00CF34B5"/>
    <w:rsid w:val="00CF3BC6"/>
    <w:rsid w:val="00CF44D9"/>
    <w:rsid w:val="00CF483D"/>
    <w:rsid w:val="00D009E9"/>
    <w:rsid w:val="00D00C65"/>
    <w:rsid w:val="00D015B5"/>
    <w:rsid w:val="00D020BA"/>
    <w:rsid w:val="00D0245D"/>
    <w:rsid w:val="00D02EA4"/>
    <w:rsid w:val="00D03095"/>
    <w:rsid w:val="00D031D2"/>
    <w:rsid w:val="00D038CA"/>
    <w:rsid w:val="00D03A23"/>
    <w:rsid w:val="00D03CBA"/>
    <w:rsid w:val="00D041C7"/>
    <w:rsid w:val="00D045CF"/>
    <w:rsid w:val="00D069B8"/>
    <w:rsid w:val="00D06AE5"/>
    <w:rsid w:val="00D07641"/>
    <w:rsid w:val="00D119A2"/>
    <w:rsid w:val="00D119B9"/>
    <w:rsid w:val="00D11C26"/>
    <w:rsid w:val="00D11D12"/>
    <w:rsid w:val="00D11F7E"/>
    <w:rsid w:val="00D1279B"/>
    <w:rsid w:val="00D1296C"/>
    <w:rsid w:val="00D136AC"/>
    <w:rsid w:val="00D146A8"/>
    <w:rsid w:val="00D14A3A"/>
    <w:rsid w:val="00D1564E"/>
    <w:rsid w:val="00D158F2"/>
    <w:rsid w:val="00D15981"/>
    <w:rsid w:val="00D15B6B"/>
    <w:rsid w:val="00D1620B"/>
    <w:rsid w:val="00D166AB"/>
    <w:rsid w:val="00D16B72"/>
    <w:rsid w:val="00D16E9C"/>
    <w:rsid w:val="00D17615"/>
    <w:rsid w:val="00D17950"/>
    <w:rsid w:val="00D20483"/>
    <w:rsid w:val="00D205E1"/>
    <w:rsid w:val="00D208B2"/>
    <w:rsid w:val="00D212CD"/>
    <w:rsid w:val="00D219E4"/>
    <w:rsid w:val="00D21A40"/>
    <w:rsid w:val="00D21BDB"/>
    <w:rsid w:val="00D21F7B"/>
    <w:rsid w:val="00D23447"/>
    <w:rsid w:val="00D259F9"/>
    <w:rsid w:val="00D25E05"/>
    <w:rsid w:val="00D25FCE"/>
    <w:rsid w:val="00D26120"/>
    <w:rsid w:val="00D26505"/>
    <w:rsid w:val="00D26AF8"/>
    <w:rsid w:val="00D27427"/>
    <w:rsid w:val="00D303D2"/>
    <w:rsid w:val="00D3075F"/>
    <w:rsid w:val="00D31CF8"/>
    <w:rsid w:val="00D3204F"/>
    <w:rsid w:val="00D335D9"/>
    <w:rsid w:val="00D341C5"/>
    <w:rsid w:val="00D34439"/>
    <w:rsid w:val="00D34580"/>
    <w:rsid w:val="00D34725"/>
    <w:rsid w:val="00D3474B"/>
    <w:rsid w:val="00D34F80"/>
    <w:rsid w:val="00D368AA"/>
    <w:rsid w:val="00D36F01"/>
    <w:rsid w:val="00D37376"/>
    <w:rsid w:val="00D37EBC"/>
    <w:rsid w:val="00D40249"/>
    <w:rsid w:val="00D408EA"/>
    <w:rsid w:val="00D438E2"/>
    <w:rsid w:val="00D45B84"/>
    <w:rsid w:val="00D45C0D"/>
    <w:rsid w:val="00D460AF"/>
    <w:rsid w:val="00D46A2E"/>
    <w:rsid w:val="00D46F4B"/>
    <w:rsid w:val="00D47B73"/>
    <w:rsid w:val="00D47E99"/>
    <w:rsid w:val="00D47EBC"/>
    <w:rsid w:val="00D50172"/>
    <w:rsid w:val="00D50355"/>
    <w:rsid w:val="00D50BB9"/>
    <w:rsid w:val="00D51ABD"/>
    <w:rsid w:val="00D51B40"/>
    <w:rsid w:val="00D51B5D"/>
    <w:rsid w:val="00D51FF2"/>
    <w:rsid w:val="00D53143"/>
    <w:rsid w:val="00D541CA"/>
    <w:rsid w:val="00D5528D"/>
    <w:rsid w:val="00D55C0F"/>
    <w:rsid w:val="00D5691C"/>
    <w:rsid w:val="00D56A0A"/>
    <w:rsid w:val="00D572BA"/>
    <w:rsid w:val="00D57B63"/>
    <w:rsid w:val="00D6001A"/>
    <w:rsid w:val="00D6089A"/>
    <w:rsid w:val="00D60C31"/>
    <w:rsid w:val="00D61A05"/>
    <w:rsid w:val="00D61DC2"/>
    <w:rsid w:val="00D622CB"/>
    <w:rsid w:val="00D623C6"/>
    <w:rsid w:val="00D62834"/>
    <w:rsid w:val="00D63096"/>
    <w:rsid w:val="00D63E94"/>
    <w:rsid w:val="00D65A95"/>
    <w:rsid w:val="00D65B90"/>
    <w:rsid w:val="00D67237"/>
    <w:rsid w:val="00D672F8"/>
    <w:rsid w:val="00D67974"/>
    <w:rsid w:val="00D70C3F"/>
    <w:rsid w:val="00D711AA"/>
    <w:rsid w:val="00D72131"/>
    <w:rsid w:val="00D7274A"/>
    <w:rsid w:val="00D735A1"/>
    <w:rsid w:val="00D73B0C"/>
    <w:rsid w:val="00D73B1F"/>
    <w:rsid w:val="00D73DE1"/>
    <w:rsid w:val="00D744B1"/>
    <w:rsid w:val="00D744B4"/>
    <w:rsid w:val="00D74720"/>
    <w:rsid w:val="00D748F7"/>
    <w:rsid w:val="00D753C6"/>
    <w:rsid w:val="00D75530"/>
    <w:rsid w:val="00D75881"/>
    <w:rsid w:val="00D76992"/>
    <w:rsid w:val="00D77BB1"/>
    <w:rsid w:val="00D81F08"/>
    <w:rsid w:val="00D83390"/>
    <w:rsid w:val="00D839DC"/>
    <w:rsid w:val="00D83FAC"/>
    <w:rsid w:val="00D844A3"/>
    <w:rsid w:val="00D86373"/>
    <w:rsid w:val="00D86AED"/>
    <w:rsid w:val="00D8721F"/>
    <w:rsid w:val="00D87275"/>
    <w:rsid w:val="00D87705"/>
    <w:rsid w:val="00D87C0D"/>
    <w:rsid w:val="00D913A8"/>
    <w:rsid w:val="00D917D3"/>
    <w:rsid w:val="00D92177"/>
    <w:rsid w:val="00D92A53"/>
    <w:rsid w:val="00D92F54"/>
    <w:rsid w:val="00D93126"/>
    <w:rsid w:val="00D93155"/>
    <w:rsid w:val="00D941BB"/>
    <w:rsid w:val="00D96645"/>
    <w:rsid w:val="00D974B1"/>
    <w:rsid w:val="00D975E9"/>
    <w:rsid w:val="00D9798D"/>
    <w:rsid w:val="00D97A0C"/>
    <w:rsid w:val="00D97EF9"/>
    <w:rsid w:val="00DA0020"/>
    <w:rsid w:val="00DA0449"/>
    <w:rsid w:val="00DA0580"/>
    <w:rsid w:val="00DA0A93"/>
    <w:rsid w:val="00DA0E0B"/>
    <w:rsid w:val="00DA1D34"/>
    <w:rsid w:val="00DA1D69"/>
    <w:rsid w:val="00DA23F0"/>
    <w:rsid w:val="00DA3239"/>
    <w:rsid w:val="00DA3FFA"/>
    <w:rsid w:val="00DA4327"/>
    <w:rsid w:val="00DA5229"/>
    <w:rsid w:val="00DA55BC"/>
    <w:rsid w:val="00DA6BCA"/>
    <w:rsid w:val="00DA70D2"/>
    <w:rsid w:val="00DB0A12"/>
    <w:rsid w:val="00DB1724"/>
    <w:rsid w:val="00DB297D"/>
    <w:rsid w:val="00DB3A00"/>
    <w:rsid w:val="00DB3BD0"/>
    <w:rsid w:val="00DB42E4"/>
    <w:rsid w:val="00DB4549"/>
    <w:rsid w:val="00DB4F34"/>
    <w:rsid w:val="00DB5406"/>
    <w:rsid w:val="00DB5484"/>
    <w:rsid w:val="00DB6E15"/>
    <w:rsid w:val="00DC06FC"/>
    <w:rsid w:val="00DC1E4D"/>
    <w:rsid w:val="00DC2007"/>
    <w:rsid w:val="00DC23CE"/>
    <w:rsid w:val="00DC2432"/>
    <w:rsid w:val="00DC3148"/>
    <w:rsid w:val="00DC34A3"/>
    <w:rsid w:val="00DC6576"/>
    <w:rsid w:val="00DC6B0D"/>
    <w:rsid w:val="00DC7281"/>
    <w:rsid w:val="00DC7A4D"/>
    <w:rsid w:val="00DC7C78"/>
    <w:rsid w:val="00DC7F6E"/>
    <w:rsid w:val="00DD0000"/>
    <w:rsid w:val="00DD174F"/>
    <w:rsid w:val="00DD20C3"/>
    <w:rsid w:val="00DD239C"/>
    <w:rsid w:val="00DD2B46"/>
    <w:rsid w:val="00DD2DC3"/>
    <w:rsid w:val="00DD2EBA"/>
    <w:rsid w:val="00DD442C"/>
    <w:rsid w:val="00DD46EA"/>
    <w:rsid w:val="00DD4B32"/>
    <w:rsid w:val="00DD4E6B"/>
    <w:rsid w:val="00DD5521"/>
    <w:rsid w:val="00DD59AA"/>
    <w:rsid w:val="00DD5EAD"/>
    <w:rsid w:val="00DD5F1C"/>
    <w:rsid w:val="00DD6FDA"/>
    <w:rsid w:val="00DD7149"/>
    <w:rsid w:val="00DD792D"/>
    <w:rsid w:val="00DE034C"/>
    <w:rsid w:val="00DE0925"/>
    <w:rsid w:val="00DE2197"/>
    <w:rsid w:val="00DE26CE"/>
    <w:rsid w:val="00DE45F0"/>
    <w:rsid w:val="00DE5262"/>
    <w:rsid w:val="00DE5632"/>
    <w:rsid w:val="00DE57B3"/>
    <w:rsid w:val="00DE5EC6"/>
    <w:rsid w:val="00DE6112"/>
    <w:rsid w:val="00DE6633"/>
    <w:rsid w:val="00DE68D4"/>
    <w:rsid w:val="00DE7812"/>
    <w:rsid w:val="00DE7AA3"/>
    <w:rsid w:val="00DF06A5"/>
    <w:rsid w:val="00DF0708"/>
    <w:rsid w:val="00DF0C13"/>
    <w:rsid w:val="00DF0F52"/>
    <w:rsid w:val="00DF132A"/>
    <w:rsid w:val="00DF19AB"/>
    <w:rsid w:val="00DF3491"/>
    <w:rsid w:val="00DF3540"/>
    <w:rsid w:val="00DF37D4"/>
    <w:rsid w:val="00DF3BE5"/>
    <w:rsid w:val="00DF51DE"/>
    <w:rsid w:val="00DF5392"/>
    <w:rsid w:val="00DF5619"/>
    <w:rsid w:val="00DF582C"/>
    <w:rsid w:val="00DF58F5"/>
    <w:rsid w:val="00DF59E7"/>
    <w:rsid w:val="00DF5CD0"/>
    <w:rsid w:val="00DF5FF3"/>
    <w:rsid w:val="00DF70CC"/>
    <w:rsid w:val="00DF7536"/>
    <w:rsid w:val="00DF7B25"/>
    <w:rsid w:val="00DF7E11"/>
    <w:rsid w:val="00E00C12"/>
    <w:rsid w:val="00E00F9A"/>
    <w:rsid w:val="00E01B84"/>
    <w:rsid w:val="00E01E89"/>
    <w:rsid w:val="00E0224D"/>
    <w:rsid w:val="00E024A3"/>
    <w:rsid w:val="00E025BE"/>
    <w:rsid w:val="00E03709"/>
    <w:rsid w:val="00E044F1"/>
    <w:rsid w:val="00E046A1"/>
    <w:rsid w:val="00E04C11"/>
    <w:rsid w:val="00E04E2A"/>
    <w:rsid w:val="00E05059"/>
    <w:rsid w:val="00E059DC"/>
    <w:rsid w:val="00E05D3B"/>
    <w:rsid w:val="00E06056"/>
    <w:rsid w:val="00E06791"/>
    <w:rsid w:val="00E06A3F"/>
    <w:rsid w:val="00E06F3F"/>
    <w:rsid w:val="00E07067"/>
    <w:rsid w:val="00E07241"/>
    <w:rsid w:val="00E077D2"/>
    <w:rsid w:val="00E10012"/>
    <w:rsid w:val="00E10A17"/>
    <w:rsid w:val="00E1112C"/>
    <w:rsid w:val="00E1279F"/>
    <w:rsid w:val="00E12F32"/>
    <w:rsid w:val="00E13363"/>
    <w:rsid w:val="00E136CB"/>
    <w:rsid w:val="00E137C3"/>
    <w:rsid w:val="00E13B9E"/>
    <w:rsid w:val="00E14D2F"/>
    <w:rsid w:val="00E164CD"/>
    <w:rsid w:val="00E16C38"/>
    <w:rsid w:val="00E17355"/>
    <w:rsid w:val="00E17923"/>
    <w:rsid w:val="00E200DA"/>
    <w:rsid w:val="00E20499"/>
    <w:rsid w:val="00E20F51"/>
    <w:rsid w:val="00E216B0"/>
    <w:rsid w:val="00E23383"/>
    <w:rsid w:val="00E2377F"/>
    <w:rsid w:val="00E239AD"/>
    <w:rsid w:val="00E247F2"/>
    <w:rsid w:val="00E25622"/>
    <w:rsid w:val="00E26459"/>
    <w:rsid w:val="00E26485"/>
    <w:rsid w:val="00E27272"/>
    <w:rsid w:val="00E2767D"/>
    <w:rsid w:val="00E27733"/>
    <w:rsid w:val="00E3144F"/>
    <w:rsid w:val="00E31621"/>
    <w:rsid w:val="00E32237"/>
    <w:rsid w:val="00E32B49"/>
    <w:rsid w:val="00E339B1"/>
    <w:rsid w:val="00E33DF5"/>
    <w:rsid w:val="00E354BE"/>
    <w:rsid w:val="00E3583C"/>
    <w:rsid w:val="00E36009"/>
    <w:rsid w:val="00E360BE"/>
    <w:rsid w:val="00E36748"/>
    <w:rsid w:val="00E3696A"/>
    <w:rsid w:val="00E36DBD"/>
    <w:rsid w:val="00E36E9B"/>
    <w:rsid w:val="00E37000"/>
    <w:rsid w:val="00E37124"/>
    <w:rsid w:val="00E371CD"/>
    <w:rsid w:val="00E376AC"/>
    <w:rsid w:val="00E37C80"/>
    <w:rsid w:val="00E40367"/>
    <w:rsid w:val="00E404DE"/>
    <w:rsid w:val="00E4086C"/>
    <w:rsid w:val="00E4133D"/>
    <w:rsid w:val="00E41395"/>
    <w:rsid w:val="00E41B37"/>
    <w:rsid w:val="00E437F5"/>
    <w:rsid w:val="00E4381A"/>
    <w:rsid w:val="00E43C79"/>
    <w:rsid w:val="00E43DE9"/>
    <w:rsid w:val="00E440CE"/>
    <w:rsid w:val="00E44173"/>
    <w:rsid w:val="00E448E9"/>
    <w:rsid w:val="00E44C03"/>
    <w:rsid w:val="00E45602"/>
    <w:rsid w:val="00E45E38"/>
    <w:rsid w:val="00E45FB7"/>
    <w:rsid w:val="00E4734A"/>
    <w:rsid w:val="00E47573"/>
    <w:rsid w:val="00E47673"/>
    <w:rsid w:val="00E476AC"/>
    <w:rsid w:val="00E477FE"/>
    <w:rsid w:val="00E47A5F"/>
    <w:rsid w:val="00E47E9C"/>
    <w:rsid w:val="00E500FF"/>
    <w:rsid w:val="00E523E8"/>
    <w:rsid w:val="00E52C50"/>
    <w:rsid w:val="00E532E7"/>
    <w:rsid w:val="00E53DE8"/>
    <w:rsid w:val="00E53E5D"/>
    <w:rsid w:val="00E54003"/>
    <w:rsid w:val="00E5521E"/>
    <w:rsid w:val="00E556CB"/>
    <w:rsid w:val="00E55B6D"/>
    <w:rsid w:val="00E56AAE"/>
    <w:rsid w:val="00E56AE2"/>
    <w:rsid w:val="00E57244"/>
    <w:rsid w:val="00E5726E"/>
    <w:rsid w:val="00E57BDE"/>
    <w:rsid w:val="00E600F9"/>
    <w:rsid w:val="00E603BB"/>
    <w:rsid w:val="00E6097D"/>
    <w:rsid w:val="00E60B87"/>
    <w:rsid w:val="00E60CE9"/>
    <w:rsid w:val="00E611CB"/>
    <w:rsid w:val="00E617A7"/>
    <w:rsid w:val="00E621C4"/>
    <w:rsid w:val="00E634A1"/>
    <w:rsid w:val="00E63D5A"/>
    <w:rsid w:val="00E6451D"/>
    <w:rsid w:val="00E645B9"/>
    <w:rsid w:val="00E6460E"/>
    <w:rsid w:val="00E64BAF"/>
    <w:rsid w:val="00E64DBD"/>
    <w:rsid w:val="00E65CE5"/>
    <w:rsid w:val="00E66249"/>
    <w:rsid w:val="00E66DF3"/>
    <w:rsid w:val="00E67186"/>
    <w:rsid w:val="00E67651"/>
    <w:rsid w:val="00E70ED5"/>
    <w:rsid w:val="00E70FA5"/>
    <w:rsid w:val="00E71BAA"/>
    <w:rsid w:val="00E71F9F"/>
    <w:rsid w:val="00E7316D"/>
    <w:rsid w:val="00E731A1"/>
    <w:rsid w:val="00E7474C"/>
    <w:rsid w:val="00E750B8"/>
    <w:rsid w:val="00E75A74"/>
    <w:rsid w:val="00E76D2C"/>
    <w:rsid w:val="00E76E74"/>
    <w:rsid w:val="00E77532"/>
    <w:rsid w:val="00E77699"/>
    <w:rsid w:val="00E77A03"/>
    <w:rsid w:val="00E80FEF"/>
    <w:rsid w:val="00E81417"/>
    <w:rsid w:val="00E81438"/>
    <w:rsid w:val="00E816E7"/>
    <w:rsid w:val="00E81893"/>
    <w:rsid w:val="00E82BA7"/>
    <w:rsid w:val="00E84653"/>
    <w:rsid w:val="00E84F5E"/>
    <w:rsid w:val="00E854D1"/>
    <w:rsid w:val="00E85E51"/>
    <w:rsid w:val="00E862E5"/>
    <w:rsid w:val="00E8669F"/>
    <w:rsid w:val="00E87ABC"/>
    <w:rsid w:val="00E915D0"/>
    <w:rsid w:val="00E9223E"/>
    <w:rsid w:val="00E92519"/>
    <w:rsid w:val="00E93369"/>
    <w:rsid w:val="00E93A76"/>
    <w:rsid w:val="00E93B84"/>
    <w:rsid w:val="00E93C43"/>
    <w:rsid w:val="00E94021"/>
    <w:rsid w:val="00E94824"/>
    <w:rsid w:val="00E94DC6"/>
    <w:rsid w:val="00E96878"/>
    <w:rsid w:val="00E96AC1"/>
    <w:rsid w:val="00EA3048"/>
    <w:rsid w:val="00EA34A8"/>
    <w:rsid w:val="00EA34FC"/>
    <w:rsid w:val="00EA3B6C"/>
    <w:rsid w:val="00EA60D2"/>
    <w:rsid w:val="00EA63B4"/>
    <w:rsid w:val="00EA666D"/>
    <w:rsid w:val="00EA7708"/>
    <w:rsid w:val="00EB0F33"/>
    <w:rsid w:val="00EB0FC6"/>
    <w:rsid w:val="00EB100B"/>
    <w:rsid w:val="00EB1664"/>
    <w:rsid w:val="00EB1942"/>
    <w:rsid w:val="00EB2522"/>
    <w:rsid w:val="00EB2A21"/>
    <w:rsid w:val="00EB38A3"/>
    <w:rsid w:val="00EB3BA8"/>
    <w:rsid w:val="00EB4648"/>
    <w:rsid w:val="00EB4796"/>
    <w:rsid w:val="00EB4D8A"/>
    <w:rsid w:val="00EB5436"/>
    <w:rsid w:val="00EB5A70"/>
    <w:rsid w:val="00EB606B"/>
    <w:rsid w:val="00EC14CB"/>
    <w:rsid w:val="00EC152C"/>
    <w:rsid w:val="00EC1621"/>
    <w:rsid w:val="00EC1FD9"/>
    <w:rsid w:val="00EC398E"/>
    <w:rsid w:val="00EC39D8"/>
    <w:rsid w:val="00EC3A83"/>
    <w:rsid w:val="00EC5848"/>
    <w:rsid w:val="00EC60DF"/>
    <w:rsid w:val="00ED0005"/>
    <w:rsid w:val="00ED091B"/>
    <w:rsid w:val="00ED1CA5"/>
    <w:rsid w:val="00ED2118"/>
    <w:rsid w:val="00ED22DE"/>
    <w:rsid w:val="00ED31DE"/>
    <w:rsid w:val="00ED356F"/>
    <w:rsid w:val="00ED3FC1"/>
    <w:rsid w:val="00ED473A"/>
    <w:rsid w:val="00ED50B1"/>
    <w:rsid w:val="00ED66EB"/>
    <w:rsid w:val="00ED6A0E"/>
    <w:rsid w:val="00EE0EC9"/>
    <w:rsid w:val="00EE185D"/>
    <w:rsid w:val="00EE1E58"/>
    <w:rsid w:val="00EE230C"/>
    <w:rsid w:val="00EE2512"/>
    <w:rsid w:val="00EE2A76"/>
    <w:rsid w:val="00EE2AC3"/>
    <w:rsid w:val="00EE3054"/>
    <w:rsid w:val="00EE3A2C"/>
    <w:rsid w:val="00EE6401"/>
    <w:rsid w:val="00EE77E8"/>
    <w:rsid w:val="00EE7B3C"/>
    <w:rsid w:val="00EE7C3A"/>
    <w:rsid w:val="00EF0126"/>
    <w:rsid w:val="00EF123F"/>
    <w:rsid w:val="00EF1263"/>
    <w:rsid w:val="00EF1E7F"/>
    <w:rsid w:val="00EF1EF3"/>
    <w:rsid w:val="00EF4295"/>
    <w:rsid w:val="00EF4774"/>
    <w:rsid w:val="00EF49DD"/>
    <w:rsid w:val="00EF4AFF"/>
    <w:rsid w:val="00EF61B4"/>
    <w:rsid w:val="00EF622C"/>
    <w:rsid w:val="00EF714A"/>
    <w:rsid w:val="00EF78BF"/>
    <w:rsid w:val="00F008F9"/>
    <w:rsid w:val="00F019BA"/>
    <w:rsid w:val="00F01A8A"/>
    <w:rsid w:val="00F03B62"/>
    <w:rsid w:val="00F04277"/>
    <w:rsid w:val="00F04C79"/>
    <w:rsid w:val="00F05083"/>
    <w:rsid w:val="00F05963"/>
    <w:rsid w:val="00F0607C"/>
    <w:rsid w:val="00F10277"/>
    <w:rsid w:val="00F113DC"/>
    <w:rsid w:val="00F12391"/>
    <w:rsid w:val="00F1304B"/>
    <w:rsid w:val="00F131D0"/>
    <w:rsid w:val="00F139AF"/>
    <w:rsid w:val="00F146D1"/>
    <w:rsid w:val="00F15473"/>
    <w:rsid w:val="00F178ED"/>
    <w:rsid w:val="00F17B7B"/>
    <w:rsid w:val="00F20264"/>
    <w:rsid w:val="00F20344"/>
    <w:rsid w:val="00F213DD"/>
    <w:rsid w:val="00F21E20"/>
    <w:rsid w:val="00F22136"/>
    <w:rsid w:val="00F231B9"/>
    <w:rsid w:val="00F23BE2"/>
    <w:rsid w:val="00F2539F"/>
    <w:rsid w:val="00F2572E"/>
    <w:rsid w:val="00F25938"/>
    <w:rsid w:val="00F262F1"/>
    <w:rsid w:val="00F2710B"/>
    <w:rsid w:val="00F272E8"/>
    <w:rsid w:val="00F301B4"/>
    <w:rsid w:val="00F302A0"/>
    <w:rsid w:val="00F31701"/>
    <w:rsid w:val="00F31D43"/>
    <w:rsid w:val="00F32B31"/>
    <w:rsid w:val="00F32CDD"/>
    <w:rsid w:val="00F332EC"/>
    <w:rsid w:val="00F33530"/>
    <w:rsid w:val="00F3462F"/>
    <w:rsid w:val="00F35450"/>
    <w:rsid w:val="00F357BF"/>
    <w:rsid w:val="00F35C79"/>
    <w:rsid w:val="00F35EFF"/>
    <w:rsid w:val="00F361C3"/>
    <w:rsid w:val="00F36281"/>
    <w:rsid w:val="00F36DBE"/>
    <w:rsid w:val="00F3751C"/>
    <w:rsid w:val="00F3785D"/>
    <w:rsid w:val="00F4107A"/>
    <w:rsid w:val="00F4142B"/>
    <w:rsid w:val="00F416C1"/>
    <w:rsid w:val="00F41AA1"/>
    <w:rsid w:val="00F42E83"/>
    <w:rsid w:val="00F433CF"/>
    <w:rsid w:val="00F44B5B"/>
    <w:rsid w:val="00F44EEF"/>
    <w:rsid w:val="00F4503E"/>
    <w:rsid w:val="00F462C0"/>
    <w:rsid w:val="00F463B8"/>
    <w:rsid w:val="00F46463"/>
    <w:rsid w:val="00F464AB"/>
    <w:rsid w:val="00F46BD9"/>
    <w:rsid w:val="00F47811"/>
    <w:rsid w:val="00F47A3D"/>
    <w:rsid w:val="00F5091D"/>
    <w:rsid w:val="00F513EE"/>
    <w:rsid w:val="00F5264D"/>
    <w:rsid w:val="00F53DB5"/>
    <w:rsid w:val="00F541B1"/>
    <w:rsid w:val="00F5426F"/>
    <w:rsid w:val="00F5489B"/>
    <w:rsid w:val="00F548CE"/>
    <w:rsid w:val="00F54FC4"/>
    <w:rsid w:val="00F551DE"/>
    <w:rsid w:val="00F5560E"/>
    <w:rsid w:val="00F55B6D"/>
    <w:rsid w:val="00F56281"/>
    <w:rsid w:val="00F56B43"/>
    <w:rsid w:val="00F57751"/>
    <w:rsid w:val="00F6042D"/>
    <w:rsid w:val="00F608EE"/>
    <w:rsid w:val="00F60E36"/>
    <w:rsid w:val="00F6102F"/>
    <w:rsid w:val="00F61A1A"/>
    <w:rsid w:val="00F622FD"/>
    <w:rsid w:val="00F62AE4"/>
    <w:rsid w:val="00F63DBA"/>
    <w:rsid w:val="00F640F3"/>
    <w:rsid w:val="00F641C4"/>
    <w:rsid w:val="00F646A1"/>
    <w:rsid w:val="00F653E6"/>
    <w:rsid w:val="00F65953"/>
    <w:rsid w:val="00F67225"/>
    <w:rsid w:val="00F67435"/>
    <w:rsid w:val="00F708A5"/>
    <w:rsid w:val="00F70B3D"/>
    <w:rsid w:val="00F714C0"/>
    <w:rsid w:val="00F71B32"/>
    <w:rsid w:val="00F71C52"/>
    <w:rsid w:val="00F71DE8"/>
    <w:rsid w:val="00F71F55"/>
    <w:rsid w:val="00F72775"/>
    <w:rsid w:val="00F7299F"/>
    <w:rsid w:val="00F7389E"/>
    <w:rsid w:val="00F73C4B"/>
    <w:rsid w:val="00F73EC6"/>
    <w:rsid w:val="00F7407D"/>
    <w:rsid w:val="00F745EC"/>
    <w:rsid w:val="00F7469C"/>
    <w:rsid w:val="00F74F98"/>
    <w:rsid w:val="00F7543A"/>
    <w:rsid w:val="00F763F6"/>
    <w:rsid w:val="00F769A1"/>
    <w:rsid w:val="00F803CA"/>
    <w:rsid w:val="00F812DB"/>
    <w:rsid w:val="00F81B87"/>
    <w:rsid w:val="00F825A0"/>
    <w:rsid w:val="00F83688"/>
    <w:rsid w:val="00F83AE4"/>
    <w:rsid w:val="00F843AE"/>
    <w:rsid w:val="00F84C25"/>
    <w:rsid w:val="00F85A16"/>
    <w:rsid w:val="00F86018"/>
    <w:rsid w:val="00F8635E"/>
    <w:rsid w:val="00F86480"/>
    <w:rsid w:val="00F87595"/>
    <w:rsid w:val="00F87D57"/>
    <w:rsid w:val="00F900AB"/>
    <w:rsid w:val="00F90683"/>
    <w:rsid w:val="00F925E4"/>
    <w:rsid w:val="00F92E61"/>
    <w:rsid w:val="00F92EAE"/>
    <w:rsid w:val="00F93CA8"/>
    <w:rsid w:val="00F93E5A"/>
    <w:rsid w:val="00F94C85"/>
    <w:rsid w:val="00F95A69"/>
    <w:rsid w:val="00F96176"/>
    <w:rsid w:val="00F96BFE"/>
    <w:rsid w:val="00F9752B"/>
    <w:rsid w:val="00F97653"/>
    <w:rsid w:val="00FA08C8"/>
    <w:rsid w:val="00FA1343"/>
    <w:rsid w:val="00FA1B84"/>
    <w:rsid w:val="00FA1C9C"/>
    <w:rsid w:val="00FA2BC9"/>
    <w:rsid w:val="00FA2C86"/>
    <w:rsid w:val="00FA33EF"/>
    <w:rsid w:val="00FA38B3"/>
    <w:rsid w:val="00FA4B34"/>
    <w:rsid w:val="00FA56E0"/>
    <w:rsid w:val="00FA581F"/>
    <w:rsid w:val="00FA5AEC"/>
    <w:rsid w:val="00FA73AF"/>
    <w:rsid w:val="00FB0215"/>
    <w:rsid w:val="00FB05E6"/>
    <w:rsid w:val="00FB0E02"/>
    <w:rsid w:val="00FB1593"/>
    <w:rsid w:val="00FB1FBD"/>
    <w:rsid w:val="00FB32C5"/>
    <w:rsid w:val="00FB37A2"/>
    <w:rsid w:val="00FB3D1A"/>
    <w:rsid w:val="00FB4C07"/>
    <w:rsid w:val="00FB5487"/>
    <w:rsid w:val="00FB5C0D"/>
    <w:rsid w:val="00FB6E31"/>
    <w:rsid w:val="00FB766A"/>
    <w:rsid w:val="00FB7A76"/>
    <w:rsid w:val="00FB7F99"/>
    <w:rsid w:val="00FC0A3E"/>
    <w:rsid w:val="00FC1A0D"/>
    <w:rsid w:val="00FC1CD7"/>
    <w:rsid w:val="00FC4A61"/>
    <w:rsid w:val="00FC544E"/>
    <w:rsid w:val="00FC5CB3"/>
    <w:rsid w:val="00FC5E70"/>
    <w:rsid w:val="00FC61BB"/>
    <w:rsid w:val="00FC6F07"/>
    <w:rsid w:val="00FD31FA"/>
    <w:rsid w:val="00FD3324"/>
    <w:rsid w:val="00FD36A3"/>
    <w:rsid w:val="00FD3ADA"/>
    <w:rsid w:val="00FD4290"/>
    <w:rsid w:val="00FD48E6"/>
    <w:rsid w:val="00FD64A3"/>
    <w:rsid w:val="00FD64C1"/>
    <w:rsid w:val="00FD66D4"/>
    <w:rsid w:val="00FD776A"/>
    <w:rsid w:val="00FD7DA4"/>
    <w:rsid w:val="00FE070A"/>
    <w:rsid w:val="00FE0955"/>
    <w:rsid w:val="00FE1E7C"/>
    <w:rsid w:val="00FE229B"/>
    <w:rsid w:val="00FE244F"/>
    <w:rsid w:val="00FE2F4A"/>
    <w:rsid w:val="00FE4829"/>
    <w:rsid w:val="00FE48E4"/>
    <w:rsid w:val="00FE5642"/>
    <w:rsid w:val="00FF0498"/>
    <w:rsid w:val="00FF0D80"/>
    <w:rsid w:val="00FF1EB9"/>
    <w:rsid w:val="00FF322E"/>
    <w:rsid w:val="00FF34EA"/>
    <w:rsid w:val="00FF541B"/>
    <w:rsid w:val="00FF5771"/>
    <w:rsid w:val="00FF5C49"/>
    <w:rsid w:val="00FF629A"/>
    <w:rsid w:val="00FF63F1"/>
    <w:rsid w:val="00FF65CC"/>
    <w:rsid w:val="00FF6977"/>
    <w:rsid w:val="00FF6D14"/>
    <w:rsid w:val="00FF7F0D"/>
    <w:rsid w:val="3C0205B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iPriority="35" w:semiHidden="0" w:name="caption"/>
    <w:lsdException w:uiPriority="99" w:semiHidden="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9"/>
    <w:pPr>
      <w:keepNext/>
      <w:keepLines/>
      <w:spacing w:before="0" w:beforeLines="0" w:after="0" w:afterLines="0"/>
      <w:outlineLvl w:val="0"/>
    </w:pPr>
    <w:rPr>
      <w:rFonts w:ascii="Times New Roman" w:hAnsi="Times New Roman" w:eastAsia="华文楷体"/>
      <w:b/>
      <w:bCs/>
      <w:kern w:val="44"/>
      <w:sz w:val="28"/>
      <w:szCs w:val="44"/>
    </w:rPr>
  </w:style>
  <w:style w:type="paragraph" w:styleId="3">
    <w:name w:val="heading 2"/>
    <w:basedOn w:val="1"/>
    <w:next w:val="1"/>
    <w:link w:val="43"/>
    <w:unhideWhenUsed/>
    <w:qFormat/>
    <w:uiPriority w:val="9"/>
    <w:pPr>
      <w:keepNext/>
      <w:keepLines/>
      <w:spacing w:before="0" w:beforeLines="0" w:after="0" w:afterLines="0"/>
      <w:outlineLvl w:val="1"/>
    </w:pPr>
    <w:rPr>
      <w:rFonts w:ascii="Times New Roman" w:hAnsi="Times New Roman" w:eastAsia="华文楷体"/>
      <w:b/>
      <w:bCs/>
      <w:sz w:val="24"/>
      <w:szCs w:val="32"/>
    </w:rPr>
  </w:style>
  <w:style w:type="paragraph" w:styleId="4">
    <w:name w:val="heading 3"/>
    <w:basedOn w:val="1"/>
    <w:next w:val="1"/>
    <w:link w:val="49"/>
    <w:unhideWhenUsed/>
    <w:qFormat/>
    <w:uiPriority w:val="9"/>
    <w:pPr>
      <w:keepNext/>
      <w:keepLines/>
      <w:outlineLvl w:val="2"/>
    </w:pPr>
    <w:rPr>
      <w:rFonts w:ascii="Times New Roman" w:hAnsi="Times New Roman" w:eastAsia="华文楷体"/>
      <w:b/>
      <w:bCs/>
      <w:szCs w:val="32"/>
    </w:rPr>
  </w:style>
  <w:style w:type="paragraph" w:styleId="5">
    <w:name w:val="heading 4"/>
    <w:basedOn w:val="1"/>
    <w:next w:val="1"/>
    <w:link w:val="50"/>
    <w:unhideWhenUsed/>
    <w:qFormat/>
    <w:uiPriority w:val="9"/>
    <w:pPr>
      <w:keepNext/>
      <w:keepLines/>
      <w:spacing w:before="280" w:after="290" w:line="376" w:lineRule="auto"/>
      <w:outlineLvl w:val="3"/>
    </w:pPr>
    <w:rPr>
      <w:rFonts w:ascii="Cambria" w:hAnsi="Cambria" w:eastAsia="宋体" w:cs="黑体"/>
      <w:b/>
      <w:bCs/>
      <w:sz w:val="28"/>
      <w:szCs w:val="28"/>
    </w:rPr>
  </w:style>
  <w:style w:type="character" w:default="1" w:styleId="25">
    <w:name w:val="Default Paragraph Font"/>
    <w:unhideWhenUsed/>
    <w:uiPriority w:val="1"/>
  </w:style>
  <w:style w:type="table" w:default="1" w:styleId="29">
    <w:name w:val="Normal Table"/>
    <w:unhideWhenUsed/>
    <w:uiPriority w:val="99"/>
    <w:tblPr>
      <w:tblStyle w:val="29"/>
      <w:tblLayout w:type="fixed"/>
      <w:tblCellMar>
        <w:top w:w="0" w:type="dxa"/>
        <w:left w:w="108" w:type="dxa"/>
        <w:bottom w:w="0" w:type="dxa"/>
        <w:right w:w="108" w:type="dxa"/>
      </w:tblCellMar>
    </w:tblPr>
    <w:tcPr>
      <w:textDirection w:val="lrTb"/>
    </w:tcPr>
  </w:style>
  <w:style w:type="paragraph" w:styleId="6">
    <w:name w:val="annotation subject"/>
    <w:basedOn w:val="7"/>
    <w:next w:val="7"/>
    <w:link w:val="45"/>
    <w:unhideWhenUsed/>
    <w:uiPriority w:val="99"/>
    <w:rPr>
      <w:b/>
      <w:bCs/>
    </w:rPr>
  </w:style>
  <w:style w:type="paragraph" w:styleId="7">
    <w:name w:val="annotation text"/>
    <w:basedOn w:val="1"/>
    <w:link w:val="44"/>
    <w:unhideWhenUsed/>
    <w:uiPriority w:val="99"/>
    <w:pPr>
      <w:jc w:val="left"/>
    </w:pPr>
  </w:style>
  <w:style w:type="paragraph" w:styleId="8">
    <w:name w:val="toc 7"/>
    <w:basedOn w:val="1"/>
    <w:next w:val="1"/>
    <w:unhideWhenUsed/>
    <w:uiPriority w:val="39"/>
    <w:pPr>
      <w:spacing w:before="0" w:after="0"/>
      <w:ind w:left="1260"/>
      <w:jc w:val="left"/>
    </w:pPr>
    <w:rPr>
      <w:rFonts w:ascii="Calibri" w:hAnsi="Calibri" w:cs="Calibri"/>
      <w:sz w:val="18"/>
      <w:szCs w:val="18"/>
    </w:rPr>
  </w:style>
  <w:style w:type="paragraph" w:styleId="9">
    <w:name w:val="caption"/>
    <w:basedOn w:val="1"/>
    <w:next w:val="1"/>
    <w:unhideWhenUsed/>
    <w:qFormat/>
    <w:uiPriority w:val="35"/>
    <w:rPr>
      <w:rFonts w:ascii="Cambria" w:hAnsi="Cambria" w:eastAsia="黑体"/>
      <w:sz w:val="20"/>
      <w:szCs w:val="20"/>
    </w:rPr>
  </w:style>
  <w:style w:type="paragraph" w:styleId="10">
    <w:name w:val="toc 5"/>
    <w:basedOn w:val="1"/>
    <w:next w:val="1"/>
    <w:unhideWhenUsed/>
    <w:uiPriority w:val="39"/>
    <w:pPr>
      <w:spacing w:before="0" w:after="0"/>
      <w:ind w:left="840"/>
      <w:jc w:val="left"/>
    </w:pPr>
    <w:rPr>
      <w:rFonts w:ascii="Calibri" w:hAnsi="Calibri" w:cs="Calibri"/>
      <w:sz w:val="18"/>
      <w:szCs w:val="18"/>
    </w:rPr>
  </w:style>
  <w:style w:type="paragraph" w:styleId="11">
    <w:name w:val="toc 3"/>
    <w:basedOn w:val="1"/>
    <w:next w:val="1"/>
    <w:unhideWhenUsed/>
    <w:uiPriority w:val="39"/>
    <w:pPr>
      <w:spacing w:before="0" w:after="0"/>
      <w:ind w:left="420"/>
      <w:jc w:val="left"/>
    </w:pPr>
    <w:rPr>
      <w:rFonts w:ascii="Calibri" w:hAnsi="Calibri" w:cs="Calibri"/>
      <w:i/>
      <w:iCs/>
      <w:sz w:val="20"/>
      <w:szCs w:val="20"/>
    </w:rPr>
  </w:style>
  <w:style w:type="paragraph" w:styleId="12">
    <w:name w:val="toc 8"/>
    <w:basedOn w:val="1"/>
    <w:next w:val="1"/>
    <w:unhideWhenUsed/>
    <w:uiPriority w:val="39"/>
    <w:pPr>
      <w:spacing w:before="0" w:after="0"/>
      <w:ind w:left="1470"/>
      <w:jc w:val="left"/>
    </w:pPr>
    <w:rPr>
      <w:rFonts w:ascii="Calibri" w:hAnsi="Calibri" w:cs="Calibri"/>
      <w:sz w:val="18"/>
      <w:szCs w:val="18"/>
    </w:rPr>
  </w:style>
  <w:style w:type="paragraph" w:styleId="13">
    <w:name w:val="Date"/>
    <w:basedOn w:val="1"/>
    <w:next w:val="1"/>
    <w:link w:val="51"/>
    <w:unhideWhenUsed/>
    <w:uiPriority w:val="99"/>
    <w:pPr>
      <w:ind w:left="100" w:leftChars="2500"/>
    </w:pPr>
  </w:style>
  <w:style w:type="paragraph" w:styleId="14">
    <w:name w:val="Balloon Text"/>
    <w:basedOn w:val="1"/>
    <w:link w:val="39"/>
    <w:unhideWhenUsed/>
    <w:uiPriority w:val="99"/>
    <w:rPr>
      <w:sz w:val="18"/>
      <w:szCs w:val="18"/>
    </w:rPr>
  </w:style>
  <w:style w:type="paragraph" w:styleId="15">
    <w:name w:val="footer"/>
    <w:basedOn w:val="1"/>
    <w:link w:val="38"/>
    <w:unhideWhenUsed/>
    <w:uiPriority w:val="99"/>
    <w:pPr>
      <w:tabs>
        <w:tab w:val="center" w:pos="4153"/>
        <w:tab w:val="right" w:pos="8306"/>
      </w:tabs>
      <w:snapToGrid w:val="0"/>
      <w:jc w:val="left"/>
    </w:pPr>
    <w:rPr>
      <w:sz w:val="18"/>
      <w:szCs w:val="18"/>
    </w:rPr>
  </w:style>
  <w:style w:type="paragraph" w:styleId="16">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uiPriority w:val="39"/>
    <w:pPr>
      <w:spacing w:before="120" w:after="120"/>
      <w:jc w:val="left"/>
    </w:pPr>
    <w:rPr>
      <w:rFonts w:ascii="Calibri" w:hAnsi="Calibri" w:cs="Calibri"/>
      <w:b/>
      <w:bCs/>
      <w:caps/>
      <w:sz w:val="20"/>
      <w:szCs w:val="20"/>
    </w:rPr>
  </w:style>
  <w:style w:type="paragraph" w:styleId="18">
    <w:name w:val="toc 4"/>
    <w:basedOn w:val="1"/>
    <w:next w:val="1"/>
    <w:unhideWhenUsed/>
    <w:uiPriority w:val="39"/>
    <w:pPr>
      <w:spacing w:before="0" w:after="0"/>
      <w:ind w:left="630"/>
      <w:jc w:val="left"/>
    </w:pPr>
    <w:rPr>
      <w:rFonts w:ascii="Calibri" w:hAnsi="Calibri" w:cs="Calibri"/>
      <w:sz w:val="18"/>
      <w:szCs w:val="18"/>
    </w:rPr>
  </w:style>
  <w:style w:type="paragraph" w:styleId="19">
    <w:name w:val="toc 6"/>
    <w:basedOn w:val="1"/>
    <w:next w:val="1"/>
    <w:unhideWhenUsed/>
    <w:uiPriority w:val="39"/>
    <w:pPr>
      <w:spacing w:before="0" w:after="0"/>
      <w:ind w:left="1050"/>
      <w:jc w:val="left"/>
    </w:pPr>
    <w:rPr>
      <w:rFonts w:ascii="Calibri" w:hAnsi="Calibri" w:cs="Calibri"/>
      <w:sz w:val="18"/>
      <w:szCs w:val="18"/>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unhideWhenUsed/>
    <w:uiPriority w:val="39"/>
    <w:pPr>
      <w:spacing w:before="0" w:after="0"/>
      <w:ind w:left="210"/>
      <w:jc w:val="left"/>
    </w:pPr>
    <w:rPr>
      <w:rFonts w:ascii="Calibri" w:hAnsi="Calibri" w:cs="Calibri"/>
      <w:smallCaps/>
      <w:sz w:val="20"/>
      <w:szCs w:val="20"/>
    </w:rPr>
  </w:style>
  <w:style w:type="paragraph" w:styleId="22">
    <w:name w:val="toc 9"/>
    <w:basedOn w:val="1"/>
    <w:next w:val="1"/>
    <w:unhideWhenUsed/>
    <w:uiPriority w:val="39"/>
    <w:pPr>
      <w:spacing w:before="0" w:after="0"/>
      <w:ind w:left="1680"/>
      <w:jc w:val="left"/>
    </w:pPr>
    <w:rPr>
      <w:rFonts w:ascii="Calibri" w:hAnsi="Calibri" w:cs="Calibri"/>
      <w:sz w:val="18"/>
      <w:szCs w:val="18"/>
    </w:rPr>
  </w:style>
  <w:style w:type="paragraph" w:styleId="23">
    <w:name w:val="HTML Preformatted"/>
    <w:basedOn w:val="1"/>
    <w:link w:val="4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26">
    <w:name w:val="Strong"/>
    <w:basedOn w:val="25"/>
    <w:qFormat/>
    <w:uiPriority w:val="22"/>
    <w:rPr>
      <w:b/>
      <w:bCs/>
    </w:rPr>
  </w:style>
  <w:style w:type="character" w:styleId="27">
    <w:name w:val="Hyperlink"/>
    <w:basedOn w:val="25"/>
    <w:unhideWhenUsed/>
    <w:uiPriority w:val="99"/>
    <w:rPr>
      <w:color w:val="0000FF"/>
      <w:u w:val="single"/>
    </w:rPr>
  </w:style>
  <w:style w:type="character" w:styleId="28">
    <w:name w:val="annotation reference"/>
    <w:basedOn w:val="25"/>
    <w:unhideWhenUsed/>
    <w:uiPriority w:val="99"/>
    <w:rPr>
      <w:sz w:val="21"/>
      <w:szCs w:val="21"/>
    </w:rPr>
  </w:style>
  <w:style w:type="table" w:styleId="30">
    <w:name w:val="Table Grid"/>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1">
    <w:name w:val="Quote"/>
    <w:basedOn w:val="1"/>
    <w:next w:val="1"/>
    <w:link w:val="40"/>
    <w:qFormat/>
    <w:uiPriority w:val="29"/>
    <w:pPr>
      <w:widowControl/>
      <w:spacing w:after="200" w:line="276" w:lineRule="auto"/>
      <w:jc w:val="left"/>
    </w:pPr>
    <w:rPr>
      <w:i/>
      <w:iCs/>
      <w:color w:val="000000"/>
      <w:kern w:val="0"/>
      <w:sz w:val="22"/>
    </w:rPr>
  </w:style>
  <w:style w:type="paragraph" w:customStyle="1" w:styleId="32">
    <w:name w:val="*Chart/TableHdg"/>
    <w:next w:val="1"/>
    <w:link w:val="41"/>
    <w:uiPriority w:val="0"/>
    <w:pPr>
      <w:keepNext/>
      <w:pBdr>
        <w:bottom w:val="single" w:color="auto" w:sz="6" w:space="2"/>
      </w:pBdr>
      <w:overflowPunct w:val="0"/>
      <w:autoSpaceDE w:val="0"/>
      <w:autoSpaceDN w:val="0"/>
      <w:adjustRightInd w:val="0"/>
      <w:spacing w:before="360" w:after="120"/>
      <w:textAlignment w:val="baseline"/>
    </w:pPr>
    <w:rPr>
      <w:rFonts w:ascii="Arial" w:hAnsi="Arial" w:eastAsia="宋体" w:cs="Times New Roman"/>
      <w:b/>
      <w:kern w:val="2"/>
      <w:sz w:val="21"/>
      <w:szCs w:val="22"/>
      <w:lang w:val="en-US" w:eastAsia="zh-CN" w:bidi="ar-SA"/>
    </w:rPr>
  </w:style>
  <w:style w:type="paragraph" w:customStyle="1" w:styleId="33">
    <w:name w:val="List Paragraph"/>
    <w:basedOn w:val="1"/>
    <w:qFormat/>
    <w:uiPriority w:val="34"/>
    <w:pPr>
      <w:ind w:firstLine="420" w:firstLineChars="200"/>
    </w:pPr>
  </w:style>
  <w:style w:type="paragraph" w:customStyle="1" w:styleId="34">
    <w:name w:val="TOC Heading"/>
    <w:basedOn w:val="2"/>
    <w:next w:val="1"/>
    <w:unhideWhenUsed/>
    <w:qFormat/>
    <w:uiPriority w:val="39"/>
    <w:pPr>
      <w:widowControl/>
      <w:spacing w:before="480" w:line="276" w:lineRule="auto"/>
      <w:jc w:val="left"/>
      <w:outlineLvl w:val="9"/>
    </w:pPr>
    <w:rPr>
      <w:rFonts w:ascii="Cambria" w:hAnsi="Cambria"/>
      <w:color w:val="365F91"/>
      <w:kern w:val="0"/>
      <w:szCs w:val="28"/>
    </w:rPr>
  </w:style>
  <w:style w:type="paragraph" w:customStyle="1" w:styleId="35">
    <w:name w:val="Defaul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页眉 字符"/>
    <w:basedOn w:val="25"/>
    <w:link w:val="16"/>
    <w:uiPriority w:val="99"/>
    <w:rPr>
      <w:sz w:val="18"/>
      <w:szCs w:val="18"/>
    </w:rPr>
  </w:style>
  <w:style w:type="character" w:customStyle="1" w:styleId="38">
    <w:name w:val="页脚 字符"/>
    <w:basedOn w:val="25"/>
    <w:link w:val="15"/>
    <w:uiPriority w:val="99"/>
    <w:rPr>
      <w:sz w:val="18"/>
      <w:szCs w:val="18"/>
    </w:rPr>
  </w:style>
  <w:style w:type="character" w:customStyle="1" w:styleId="39">
    <w:name w:val="批注框文本 字符"/>
    <w:basedOn w:val="25"/>
    <w:link w:val="14"/>
    <w:semiHidden/>
    <w:uiPriority w:val="99"/>
    <w:rPr>
      <w:sz w:val="18"/>
      <w:szCs w:val="18"/>
    </w:rPr>
  </w:style>
  <w:style w:type="character" w:customStyle="1" w:styleId="40">
    <w:name w:val="引用 字符"/>
    <w:basedOn w:val="25"/>
    <w:link w:val="31"/>
    <w:uiPriority w:val="29"/>
    <w:rPr>
      <w:i/>
      <w:iCs/>
      <w:color w:val="000000"/>
      <w:kern w:val="0"/>
      <w:sz w:val="22"/>
    </w:rPr>
  </w:style>
  <w:style w:type="character" w:customStyle="1" w:styleId="41">
    <w:name w:val="*Chart/TableHdg Char"/>
    <w:basedOn w:val="25"/>
    <w:link w:val="32"/>
    <w:uiPriority w:val="0"/>
    <w:rPr>
      <w:rFonts w:ascii="Arial" w:hAnsi="Arial"/>
      <w:b/>
      <w:kern w:val="2"/>
      <w:sz w:val="21"/>
      <w:szCs w:val="22"/>
      <w:lang w:val="en-US" w:eastAsia="zh-CN" w:bidi="ar-SA"/>
    </w:rPr>
  </w:style>
  <w:style w:type="character" w:customStyle="1" w:styleId="42">
    <w:name w:val="标题 1 字符"/>
    <w:basedOn w:val="25"/>
    <w:link w:val="2"/>
    <w:uiPriority w:val="9"/>
    <w:rPr>
      <w:rFonts w:ascii="Times New Roman" w:hAnsi="Times New Roman" w:eastAsia="华文楷体"/>
      <w:b/>
      <w:bCs/>
      <w:kern w:val="44"/>
      <w:sz w:val="28"/>
      <w:szCs w:val="44"/>
    </w:rPr>
  </w:style>
  <w:style w:type="character" w:customStyle="1" w:styleId="43">
    <w:name w:val="标题 2 字符"/>
    <w:basedOn w:val="25"/>
    <w:link w:val="3"/>
    <w:qFormat/>
    <w:uiPriority w:val="9"/>
    <w:rPr>
      <w:rFonts w:ascii="Times New Roman" w:hAnsi="Times New Roman" w:eastAsia="华文楷体"/>
      <w:b/>
      <w:bCs/>
      <w:kern w:val="2"/>
      <w:sz w:val="24"/>
      <w:szCs w:val="32"/>
    </w:rPr>
  </w:style>
  <w:style w:type="character" w:customStyle="1" w:styleId="44">
    <w:name w:val="批注文字 字符"/>
    <w:basedOn w:val="25"/>
    <w:link w:val="7"/>
    <w:semiHidden/>
    <w:uiPriority w:val="99"/>
    <w:rPr/>
  </w:style>
  <w:style w:type="character" w:customStyle="1" w:styleId="45">
    <w:name w:val="批注主题 字符"/>
    <w:basedOn w:val="44"/>
    <w:link w:val="6"/>
    <w:semiHidden/>
    <w:uiPriority w:val="99"/>
    <w:rPr>
      <w:b/>
      <w:bCs/>
    </w:rPr>
  </w:style>
  <w:style w:type="character" w:customStyle="1" w:styleId="46">
    <w:name w:val="HTML 预设格式 字符"/>
    <w:basedOn w:val="25"/>
    <w:link w:val="23"/>
    <w:semiHidden/>
    <w:uiPriority w:val="99"/>
    <w:rPr>
      <w:rFonts w:ascii="宋体" w:hAnsi="宋体" w:eastAsia="宋体" w:cs="宋体"/>
      <w:kern w:val="0"/>
      <w:sz w:val="24"/>
      <w:szCs w:val="24"/>
    </w:rPr>
  </w:style>
  <w:style w:type="character" w:customStyle="1" w:styleId="47">
    <w:name w:val="apple-style-span"/>
    <w:basedOn w:val="25"/>
    <w:uiPriority w:val="0"/>
    <w:rPr/>
  </w:style>
  <w:style w:type="character" w:customStyle="1" w:styleId="48">
    <w:name w:val="apple-converted-space"/>
    <w:basedOn w:val="25"/>
    <w:uiPriority w:val="0"/>
    <w:rPr/>
  </w:style>
  <w:style w:type="character" w:customStyle="1" w:styleId="49">
    <w:name w:val="标题 3 字符"/>
    <w:basedOn w:val="25"/>
    <w:link w:val="4"/>
    <w:uiPriority w:val="9"/>
    <w:rPr>
      <w:rFonts w:ascii="Times New Roman" w:hAnsi="Times New Roman" w:eastAsia="华文楷体"/>
      <w:b/>
      <w:bCs/>
      <w:kern w:val="2"/>
      <w:sz w:val="21"/>
      <w:szCs w:val="32"/>
    </w:rPr>
  </w:style>
  <w:style w:type="character" w:customStyle="1" w:styleId="50">
    <w:name w:val="标题 4 字符"/>
    <w:basedOn w:val="25"/>
    <w:link w:val="5"/>
    <w:uiPriority w:val="9"/>
    <w:rPr>
      <w:rFonts w:ascii="Cambria" w:hAnsi="Cambria" w:eastAsia="宋体" w:cs="黑体"/>
      <w:b/>
      <w:bCs/>
      <w:kern w:val="2"/>
      <w:sz w:val="28"/>
      <w:szCs w:val="28"/>
    </w:rPr>
  </w:style>
  <w:style w:type="character" w:customStyle="1" w:styleId="51">
    <w:name w:val="日期 字符"/>
    <w:basedOn w:val="25"/>
    <w:link w:val="13"/>
    <w:semiHidden/>
    <w:uiPriority w:val="99"/>
    <w:rPr>
      <w:kern w:val="2"/>
      <w:sz w:val="21"/>
      <w:szCs w:val="22"/>
    </w:rPr>
  </w:style>
  <w:style w:type="table" w:customStyle="1" w:styleId="52">
    <w:name w:val="网格型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53">
    <w:name w:val="网格型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54">
    <w:name w:val="网格型3"/>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55">
    <w:name w:val="网格型4"/>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56">
    <w:name w:val="网格型5"/>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57">
    <w:name w:val="网格型6"/>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58">
    <w:name w:val="网格型7"/>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59">
    <w:name w:val="网格型8"/>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0">
    <w:name w:val="网格型9"/>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1">
    <w:name w:val="网格型1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2">
    <w:name w:val="网格型1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3">
    <w:name w:val="网格型1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4">
    <w:name w:val="网格型13"/>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5">
    <w:name w:val="网格型14"/>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6">
    <w:name w:val="网格型15"/>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7">
    <w:name w:val="网格型16"/>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8">
    <w:name w:val="网格型17"/>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9">
    <w:name w:val="网格型18"/>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0">
    <w:name w:val="网格型19"/>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1">
    <w:name w:val="网格型2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2">
    <w:name w:val="网格型2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3">
    <w:name w:val="网格型2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4">
    <w:name w:val="网格型23"/>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5">
    <w:name w:val="网格型24"/>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6">
    <w:name w:val="网格型25"/>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7">
    <w:name w:val="网格型26"/>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8">
    <w:name w:val="网格型27"/>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9">
    <w:name w:val="网格型28"/>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0">
    <w:name w:val="网格型29"/>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1">
    <w:name w:val="网格型3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2">
    <w:name w:val="网格型3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3">
    <w:name w:val="网格型3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4">
    <w:name w:val="网格型33"/>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5">
    <w:name w:val="网格型34"/>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6">
    <w:name w:val="网格型35"/>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7">
    <w:name w:val="网格型36"/>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8">
    <w:name w:val="网格型37"/>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89">
    <w:name w:val="网格型38"/>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0">
    <w:name w:val="网格型39"/>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1">
    <w:name w:val="网格型4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2">
    <w:name w:val="网格型4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3">
    <w:name w:val="网格型4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4">
    <w:name w:val="网格型43"/>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5">
    <w:name w:val="网格型44"/>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6">
    <w:name w:val="网格型45"/>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7">
    <w:name w:val="网格型46"/>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8">
    <w:name w:val="网格型47"/>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9">
    <w:name w:val="网格型48"/>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0">
    <w:name w:val="网格型49"/>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1">
    <w:name w:val="网格型5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2">
    <w:name w:val="网格型5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3">
    <w:name w:val="网格型5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4">
    <w:name w:val="网格型53"/>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5">
    <w:name w:val="网格型54"/>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6">
    <w:name w:val="网格型55"/>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7">
    <w:name w:val="网格型56"/>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8">
    <w:name w:val="网格型57"/>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09">
    <w:name w:val="网格型58"/>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0">
    <w:name w:val="网格型59"/>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1">
    <w:name w:val="网格型6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2">
    <w:name w:val="网格型6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3">
    <w:name w:val="网格型6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4">
    <w:name w:val="网格型63"/>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5">
    <w:name w:val="网格型64"/>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6">
    <w:name w:val="网格型31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7">
    <w:name w:val="网格型31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8">
    <w:name w:val="网格型31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9">
    <w:name w:val="网格型65"/>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0">
    <w:name w:val="网格型66"/>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1">
    <w:name w:val="网格型67"/>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2">
    <w:name w:val="网格型68"/>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3">
    <w:name w:val="网格型69"/>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4">
    <w:name w:val="网格型7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5">
    <w:name w:val="网格型7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6">
    <w:name w:val="网格型7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7">
    <w:name w:val="网格型313"/>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8">
    <w:name w:val="网格型53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29">
    <w:name w:val="网格型73"/>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0">
    <w:name w:val="网格型74"/>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1">
    <w:name w:val="网格型75"/>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2">
    <w:name w:val="网格型76"/>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3">
    <w:name w:val="网格型77"/>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4">
    <w:name w:val="网格型78"/>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5">
    <w:name w:val="网格型79"/>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6">
    <w:name w:val="网格型8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7">
    <w:name w:val="网格型8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8">
    <w:name w:val="网格型410"/>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39">
    <w:name w:val="网格型791"/>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40">
    <w:name w:val="网格型82"/>
    <w:basedOn w:val="29"/>
    <w:uiPriority w:val="59"/>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41">
    <w:name w:val="Grid Table 5 Dark Accent 1"/>
    <w:basedOn w:val="29"/>
    <w:uiPriority w:val="50"/>
    <w:pPr/>
    <w:tblPr>
      <w:tblStyle w:val="29"/>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auto" w:fill="DBE5F1"/>
      <w:textDirection w:val="lrTb"/>
    </w:tcPr>
    <w:tblStylePr w:type="firstRow">
      <w:rPr>
        <w:b/>
        <w:bCs/>
        <w:color w:val="FFFFFF"/>
      </w:rPr>
      <w:tblPr>
        <w:tblStyle w:val="29"/>
        <w:tblLayout w:type="fixed"/>
      </w:tbl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extDirection w:val="lrTb"/>
      </w:tcPr>
    </w:tblStylePr>
    <w:tblStylePr w:type="lastRow">
      <w:rPr>
        <w:b/>
        <w:bCs/>
        <w:color w:val="FFFFFF"/>
      </w:rPr>
      <w:tblPr>
        <w:tblStyle w:val="29"/>
        <w:tblLayout w:type="fixed"/>
      </w:tbl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extDirection w:val="lrTb"/>
      </w:tcPr>
    </w:tblStylePr>
    <w:tblStylePr w:type="firstCol">
      <w:rPr>
        <w:b/>
        <w:bCs/>
        <w:color w:val="FFFFFF"/>
      </w:rPr>
      <w:tblPr>
        <w:tblStyle w:val="29"/>
        <w:tblLayout w:type="fixed"/>
      </w:tbl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extDirection w:val="lrTb"/>
      </w:tcPr>
    </w:tblStylePr>
    <w:tblStylePr w:type="lastCol">
      <w:rPr>
        <w:b/>
        <w:bCs/>
        <w:color w:val="FFFFFF"/>
      </w:rPr>
      <w:tblPr>
        <w:tblStyle w:val="29"/>
        <w:tblLayout w:type="fixed"/>
      </w:tbl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extDirection w:val="lrTb"/>
      </w:tcPr>
    </w:tblStylePr>
    <w:tblStylePr w:type="band1Vert">
      <w:tblPr>
        <w:tblStyle w:val="29"/>
        <w:tblLayout w:type="fixed"/>
      </w:tblPr>
      <w:tcPr>
        <w:shd w:val="clear" w:color="auto" w:fill="B8CCE4"/>
        <w:textDirection w:val="lrTb"/>
      </w:tcPr>
    </w:tblStylePr>
    <w:tblStylePr w:type="band1Horz">
      <w:tblPr>
        <w:tblStyle w:val="29"/>
        <w:tblLayout w:type="fixed"/>
      </w:tblPr>
      <w:tcPr>
        <w:shd w:val="clear" w:color="auto" w:fill="B8CCE4"/>
        <w:textDirection w:val="lrTb"/>
      </w:tcPr>
    </w:tblStylePr>
  </w:style>
  <w:style w:type="table" w:customStyle="1" w:styleId="142">
    <w:name w:val="Grid Table 1 Light"/>
    <w:basedOn w:val="29"/>
    <w:uiPriority w:val="46"/>
    <w:pPr/>
    <w:tblPr>
      <w:tblStyle w:val="29"/>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cPr>
      <w:textDirection w:val="lrTb"/>
    </w:tcPr>
    <w:tblStylePr w:type="firstRow">
      <w:rPr>
        <w:b/>
        <w:bCs/>
      </w:rPr>
      <w:tblPr>
        <w:tblStyle w:val="29"/>
        <w:tblLayout w:type="fixed"/>
      </w:tblPr>
      <w:tcPr>
        <w:tcBorders>
          <w:top w:val="nil"/>
          <w:left w:val="nil"/>
          <w:bottom w:val="single" w:color="666666" w:sz="12" w:space="0"/>
          <w:right w:val="nil"/>
          <w:insideH w:val="nil"/>
          <w:insideV w:val="nil"/>
          <w:tl2br w:val="nil"/>
          <w:tr2bl w:val="nil"/>
        </w:tcBorders>
        <w:textDirection w:val="lrTb"/>
      </w:tcPr>
    </w:tblStylePr>
    <w:tblStylePr w:type="lastRow">
      <w:rPr>
        <w:b/>
        <w:bCs/>
      </w:rPr>
      <w:tblPr>
        <w:tblStyle w:val="29"/>
        <w:tblLayout w:type="fixed"/>
      </w:tblPr>
      <w:tcPr>
        <w:tcBorders>
          <w:top w:val="double" w:color="666666" w:sz="2" w:space="0"/>
          <w:left w:val="nil"/>
          <w:bottom w:val="nil"/>
          <w:right w:val="nil"/>
          <w:insideH w:val="nil"/>
          <w:insideV w:val="nil"/>
          <w:tl2br w:val="nil"/>
          <w:tr2bl w:val="nil"/>
        </w:tcBorders>
        <w:textDirection w:val="lrTb"/>
      </w:tcPr>
    </w:tblStylePr>
    <w:tblStylePr w:type="firstCol">
      <w:rPr>
        <w:b/>
        <w:bCs/>
      </w:rPr>
      <w:tblPr>
        <w:tblStyle w:val="29"/>
        <w:tblLayout w:type="fixed"/>
      </w:tblPr>
      <w:tcPr>
        <w:textDirection w:val="lrTb"/>
      </w:tcPr>
    </w:tblStylePr>
    <w:tblStylePr w:type="lastCol">
      <w:rPr>
        <w:b/>
        <w:bCs/>
      </w:rPr>
      <w:tblPr>
        <w:tblStyle w:val="29"/>
        <w:tblLayout w:type="fixed"/>
      </w:tblPr>
      <w:tcPr>
        <w:textDirection w:val="lrTb"/>
      </w:tcPr>
    </w:tblStylePr>
  </w:style>
  <w:style w:type="table" w:customStyle="1" w:styleId="143">
    <w:name w:val="Grid Table 4 Accent 1"/>
    <w:basedOn w:val="29"/>
    <w:uiPriority w:val="49"/>
    <w:pPr/>
    <w:tblPr>
      <w:tblStyle w:val="29"/>
      <w:tblStyleRowBandSize w:val="1"/>
      <w:tblStyleColBandSize w:val="1"/>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Pr>
    <w:tcPr>
      <w:textDirection w:val="lrTb"/>
    </w:tcPr>
    <w:tblStylePr w:type="firstRow">
      <w:rPr>
        <w:b/>
        <w:bCs/>
        <w:color w:val="FFFFFF"/>
      </w:rPr>
      <w:tblPr>
        <w:tblStyle w:val="29"/>
        <w:tblLayout w:type="fixed"/>
      </w:tbl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extDirection w:val="lrTb"/>
      </w:tcPr>
    </w:tblStylePr>
    <w:tblStylePr w:type="lastRow">
      <w:rPr>
        <w:b/>
        <w:bCs/>
      </w:rPr>
      <w:tblPr>
        <w:tblStyle w:val="29"/>
        <w:tblLayout w:type="fixed"/>
      </w:tblPr>
      <w:tcPr>
        <w:tcBorders>
          <w:top w:val="double" w:color="4F81BD" w:sz="4" w:space="0"/>
          <w:left w:val="nil"/>
          <w:bottom w:val="nil"/>
          <w:right w:val="nil"/>
          <w:insideH w:val="nil"/>
          <w:insideV w:val="nil"/>
          <w:tl2br w:val="nil"/>
          <w:tr2bl w:val="nil"/>
        </w:tcBorders>
        <w:textDirection w:val="lrTb"/>
      </w:tcPr>
    </w:tblStylePr>
    <w:tblStylePr w:type="firstCol">
      <w:rPr>
        <w:b/>
        <w:bCs/>
      </w:rPr>
      <w:tblPr>
        <w:tblStyle w:val="29"/>
        <w:tblLayout w:type="fixed"/>
      </w:tblPr>
      <w:tcPr>
        <w:textDirection w:val="lrTb"/>
      </w:tcPr>
    </w:tblStylePr>
    <w:tblStylePr w:type="lastCol">
      <w:rPr>
        <w:b/>
        <w:bCs/>
      </w:rPr>
      <w:tblPr>
        <w:tblStyle w:val="29"/>
        <w:tblLayout w:type="fixed"/>
      </w:tblPr>
      <w:tcPr>
        <w:textDirection w:val="lrTb"/>
      </w:tcPr>
    </w:tblStylePr>
    <w:tblStylePr w:type="band1Vert">
      <w:tblPr>
        <w:tblStyle w:val="29"/>
        <w:tblLayout w:type="fixed"/>
      </w:tblPr>
      <w:tcPr>
        <w:shd w:val="clear" w:color="auto" w:fill="DBE5F1"/>
        <w:textDirection w:val="lrTb"/>
      </w:tcPr>
    </w:tblStylePr>
    <w:tblStylePr w:type="band1Horz">
      <w:tblPr>
        <w:tblStyle w:val="29"/>
        <w:tblLayout w:type="fixed"/>
      </w:tblPr>
      <w:tcPr>
        <w:shd w:val="clear" w:color="auto" w:fill="DBE5F1"/>
        <w:textDirection w:val="lrTb"/>
      </w:tcPr>
    </w:tblStylePr>
  </w:style>
  <w:style w:type="table" w:customStyle="1" w:styleId="144">
    <w:name w:val="Grid Table 4 Accent 2"/>
    <w:basedOn w:val="29"/>
    <w:uiPriority w:val="49"/>
    <w:pPr/>
    <w:tblPr>
      <w:tblStyle w:val="29"/>
      <w:tblStyleRowBandSize w:val="1"/>
      <w:tblStyleColBandSize w:val="1"/>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Pr>
    <w:tcPr>
      <w:textDirection w:val="lrTb"/>
    </w:tcPr>
    <w:tblStylePr w:type="firstRow">
      <w:rPr>
        <w:b/>
        <w:bCs/>
        <w:color w:val="FFFFFF"/>
      </w:rPr>
      <w:tblPr>
        <w:tblStyle w:val="29"/>
        <w:tblLayout w:type="fixed"/>
      </w:tblPr>
      <w:tcPr>
        <w:tcBorders>
          <w:top w:val="single" w:color="C0504D" w:sz="4" w:space="0"/>
          <w:left w:val="single" w:color="C0504D" w:sz="4" w:space="0"/>
          <w:bottom w:val="single" w:color="C0504D" w:sz="4" w:space="0"/>
          <w:right w:val="single" w:color="C0504D" w:sz="4" w:space="0"/>
          <w:insideH w:val="nil"/>
          <w:insideV w:val="nil"/>
          <w:tl2br w:val="nil"/>
          <w:tr2bl w:val="nil"/>
        </w:tcBorders>
        <w:shd w:val="clear" w:color="auto" w:fill="C0504D"/>
        <w:textDirection w:val="lrTb"/>
      </w:tcPr>
    </w:tblStylePr>
    <w:tblStylePr w:type="lastRow">
      <w:rPr>
        <w:b/>
        <w:bCs/>
      </w:rPr>
      <w:tblPr>
        <w:tblStyle w:val="29"/>
        <w:tblLayout w:type="fixed"/>
      </w:tblPr>
      <w:tcPr>
        <w:tcBorders>
          <w:top w:val="double" w:color="C0504D" w:sz="4" w:space="0"/>
          <w:left w:val="nil"/>
          <w:bottom w:val="nil"/>
          <w:right w:val="nil"/>
          <w:insideH w:val="nil"/>
          <w:insideV w:val="nil"/>
          <w:tl2br w:val="nil"/>
          <w:tr2bl w:val="nil"/>
        </w:tcBorders>
        <w:textDirection w:val="lrTb"/>
      </w:tcPr>
    </w:tblStylePr>
    <w:tblStylePr w:type="firstCol">
      <w:rPr>
        <w:b/>
        <w:bCs/>
      </w:rPr>
      <w:tblPr>
        <w:tblStyle w:val="29"/>
        <w:tblLayout w:type="fixed"/>
      </w:tblPr>
      <w:tcPr>
        <w:textDirection w:val="lrTb"/>
      </w:tcPr>
    </w:tblStylePr>
    <w:tblStylePr w:type="lastCol">
      <w:rPr>
        <w:b/>
        <w:bCs/>
      </w:rPr>
      <w:tblPr>
        <w:tblStyle w:val="29"/>
        <w:tblLayout w:type="fixed"/>
      </w:tblPr>
      <w:tcPr>
        <w:textDirection w:val="lrTb"/>
      </w:tcPr>
    </w:tblStylePr>
    <w:tblStylePr w:type="band1Vert">
      <w:tblPr>
        <w:tblStyle w:val="29"/>
        <w:tblLayout w:type="fixed"/>
      </w:tblPr>
      <w:tcPr>
        <w:shd w:val="clear" w:color="auto" w:fill="F2DBDB"/>
        <w:textDirection w:val="lrTb"/>
      </w:tcPr>
    </w:tblStylePr>
    <w:tblStylePr w:type="band1Horz">
      <w:tblPr>
        <w:tblStyle w:val="29"/>
        <w:tblLayout w:type="fixed"/>
      </w:tblPr>
      <w:tcPr>
        <w:shd w:val="clear" w:color="auto" w:fill="F2DBDB"/>
        <w:textDirection w:val="lrTb"/>
      </w:tcPr>
    </w:tblStylePr>
  </w:style>
  <w:style w:type="table" w:customStyle="1" w:styleId="145">
    <w:name w:val="Grid Table 4 Accent 3"/>
    <w:basedOn w:val="29"/>
    <w:uiPriority w:val="49"/>
    <w:pPr/>
    <w:tblPr>
      <w:tblStyle w:val="29"/>
      <w:tblStyleRowBandSize w:val="1"/>
      <w:tblStyleColBandSize w:val="1"/>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Pr>
    <w:tcPr>
      <w:textDirection w:val="lrTb"/>
    </w:tcPr>
    <w:tblStylePr w:type="firstRow">
      <w:rPr>
        <w:b/>
        <w:bCs/>
        <w:color w:val="FFFFFF"/>
      </w:rPr>
      <w:tblPr>
        <w:tblStyle w:val="29"/>
        <w:tblLayout w:type="fixed"/>
      </w:tblPr>
      <w:tcPr>
        <w:tcBorders>
          <w:top w:val="single" w:color="9BBB59" w:sz="4" w:space="0"/>
          <w:left w:val="single" w:color="9BBB59" w:sz="4" w:space="0"/>
          <w:bottom w:val="single" w:color="9BBB59" w:sz="4" w:space="0"/>
          <w:right w:val="single" w:color="9BBB59" w:sz="4" w:space="0"/>
          <w:insideH w:val="nil"/>
          <w:insideV w:val="nil"/>
          <w:tl2br w:val="nil"/>
          <w:tr2bl w:val="nil"/>
        </w:tcBorders>
        <w:shd w:val="clear" w:color="auto" w:fill="9BBB59"/>
        <w:textDirection w:val="lrTb"/>
      </w:tcPr>
    </w:tblStylePr>
    <w:tblStylePr w:type="lastRow">
      <w:rPr>
        <w:b/>
        <w:bCs/>
      </w:rPr>
      <w:tblPr>
        <w:tblStyle w:val="29"/>
        <w:tblLayout w:type="fixed"/>
      </w:tblPr>
      <w:tcPr>
        <w:tcBorders>
          <w:top w:val="double" w:color="9BBB59" w:sz="4" w:space="0"/>
          <w:left w:val="nil"/>
          <w:bottom w:val="nil"/>
          <w:right w:val="nil"/>
          <w:insideH w:val="nil"/>
          <w:insideV w:val="nil"/>
          <w:tl2br w:val="nil"/>
          <w:tr2bl w:val="nil"/>
        </w:tcBorders>
        <w:textDirection w:val="lrTb"/>
      </w:tcPr>
    </w:tblStylePr>
    <w:tblStylePr w:type="firstCol">
      <w:rPr>
        <w:b/>
        <w:bCs/>
      </w:rPr>
      <w:tblPr>
        <w:tblStyle w:val="29"/>
        <w:tblLayout w:type="fixed"/>
      </w:tblPr>
      <w:tcPr>
        <w:textDirection w:val="lrTb"/>
      </w:tcPr>
    </w:tblStylePr>
    <w:tblStylePr w:type="lastCol">
      <w:rPr>
        <w:b/>
        <w:bCs/>
      </w:rPr>
      <w:tblPr>
        <w:tblStyle w:val="29"/>
        <w:tblLayout w:type="fixed"/>
      </w:tblPr>
      <w:tcPr>
        <w:textDirection w:val="lrTb"/>
      </w:tcPr>
    </w:tblStylePr>
    <w:tblStylePr w:type="band1Vert">
      <w:tblPr>
        <w:tblStyle w:val="29"/>
        <w:tblLayout w:type="fixed"/>
      </w:tblPr>
      <w:tcPr>
        <w:shd w:val="clear" w:color="auto" w:fill="EAF1DD"/>
        <w:textDirection w:val="lrTb"/>
      </w:tcPr>
    </w:tblStylePr>
    <w:tblStylePr w:type="band1Horz">
      <w:tblPr>
        <w:tblStyle w:val="29"/>
        <w:tblLayout w:type="fixed"/>
      </w:tblPr>
      <w:tcPr>
        <w:shd w:val="clear" w:color="auto" w:fill="EAF1DD"/>
        <w:textDirection w:val="lrTb"/>
      </w:tcPr>
    </w:tblStylePr>
  </w:style>
  <w:style w:type="table" w:customStyle="1" w:styleId="146">
    <w:name w:val="List Table 4 Accent 1"/>
    <w:basedOn w:val="29"/>
    <w:uiPriority w:val="49"/>
    <w:pPr/>
    <w:tblPr>
      <w:tblStyle w:val="29"/>
      <w:tblStyleRowBandSize w:val="1"/>
      <w:tblStyleColBandSize w:val="1"/>
      <w:tblBorders>
        <w:top w:val="single" w:color="95B3D7" w:sz="4" w:space="0"/>
        <w:left w:val="single" w:color="95B3D7" w:sz="4" w:space="0"/>
        <w:bottom w:val="single" w:color="95B3D7" w:sz="4" w:space="0"/>
        <w:right w:val="single" w:color="95B3D7" w:sz="4" w:space="0"/>
        <w:insideH w:val="single" w:color="95B3D7" w:sz="4" w:space="0"/>
      </w:tblBorders>
      <w:tblLayout w:type="fixed"/>
    </w:tblPr>
    <w:tcPr>
      <w:textDirection w:val="lrTb"/>
    </w:tcPr>
    <w:tblStylePr w:type="firstRow">
      <w:rPr>
        <w:b/>
        <w:bCs/>
        <w:color w:val="FFFFFF"/>
      </w:rPr>
      <w:tblPr>
        <w:tblStyle w:val="29"/>
        <w:tblLayout w:type="fixed"/>
      </w:tbl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extDirection w:val="lrTb"/>
      </w:tcPr>
    </w:tblStylePr>
    <w:tblStylePr w:type="lastRow">
      <w:rPr>
        <w:b/>
        <w:bCs/>
      </w:rPr>
      <w:tblPr>
        <w:tblStyle w:val="29"/>
        <w:tblLayout w:type="fixed"/>
      </w:tblPr>
      <w:tcPr>
        <w:tcBorders>
          <w:top w:val="double" w:color="95B3D7" w:sz="4" w:space="0"/>
          <w:left w:val="nil"/>
          <w:bottom w:val="nil"/>
          <w:right w:val="nil"/>
          <w:insideH w:val="nil"/>
          <w:insideV w:val="nil"/>
          <w:tl2br w:val="nil"/>
          <w:tr2bl w:val="nil"/>
        </w:tcBorders>
        <w:textDirection w:val="lrTb"/>
      </w:tcPr>
    </w:tblStylePr>
    <w:tblStylePr w:type="firstCol">
      <w:rPr>
        <w:b/>
        <w:bCs/>
      </w:rPr>
      <w:tblPr>
        <w:tblStyle w:val="29"/>
        <w:tblLayout w:type="fixed"/>
      </w:tblPr>
      <w:tcPr>
        <w:textDirection w:val="lrTb"/>
      </w:tcPr>
    </w:tblStylePr>
    <w:tblStylePr w:type="lastCol">
      <w:rPr>
        <w:b/>
        <w:bCs/>
      </w:rPr>
      <w:tblPr>
        <w:tblStyle w:val="29"/>
        <w:tblLayout w:type="fixed"/>
      </w:tblPr>
      <w:tcPr>
        <w:textDirection w:val="lrTb"/>
      </w:tcPr>
    </w:tblStylePr>
    <w:tblStylePr w:type="band1Vert">
      <w:tblPr>
        <w:tblStyle w:val="29"/>
        <w:tblLayout w:type="fixed"/>
      </w:tblPr>
      <w:tcPr>
        <w:shd w:val="clear" w:color="auto" w:fill="DBE5F1"/>
        <w:textDirection w:val="lrTb"/>
      </w:tcPr>
    </w:tblStylePr>
    <w:tblStylePr w:type="band1Horz">
      <w:tblPr>
        <w:tblStyle w:val="29"/>
        <w:tblLayout w:type="fixed"/>
      </w:tblPr>
      <w:tcPr>
        <w:shd w:val="clear" w:color="auto" w:fill="DBE5F1"/>
        <w:textDirection w:val="lrTb"/>
      </w:tcPr>
    </w:tblStylePr>
  </w:style>
  <w:style w:type="table" w:customStyle="1" w:styleId="147">
    <w:name w:val="List Table 5 Dark Accent 1"/>
    <w:basedOn w:val="29"/>
    <w:uiPriority w:val="50"/>
    <w:pPr/>
    <w:rPr>
      <w:color w:val="FFFFFF"/>
    </w:rPr>
    <w:tblPr>
      <w:tblStyle w:val="29"/>
      <w:tblStyleRowBandSize w:val="1"/>
      <w:tblStyleColBandSize w:val="1"/>
      <w:tblBorders>
        <w:top w:val="single" w:color="4F81BD" w:sz="24" w:space="0"/>
        <w:left w:val="single" w:color="4F81BD" w:sz="24" w:space="0"/>
        <w:bottom w:val="single" w:color="4F81BD" w:sz="24" w:space="0"/>
        <w:right w:val="single" w:color="4F81BD" w:sz="24" w:space="0"/>
      </w:tblBorders>
      <w:tblLayout w:type="fixed"/>
    </w:tblPr>
    <w:tcPr>
      <w:shd w:val="clear" w:color="auto" w:fill="4F81BD"/>
      <w:textDirection w:val="lrTb"/>
    </w:tcPr>
    <w:tblStylePr w:type="firstRow">
      <w:rPr>
        <w:b/>
        <w:bCs/>
      </w:rPr>
      <w:tblPr>
        <w:tblStyle w:val="29"/>
        <w:tblLayout w:type="fixed"/>
      </w:tblPr>
      <w:tcPr>
        <w:tcBorders>
          <w:top w:val="nil"/>
          <w:left w:val="nil"/>
          <w:bottom w:val="single" w:color="FFFFFF" w:sz="18" w:space="0"/>
          <w:right w:val="nil"/>
          <w:insideH w:val="nil"/>
          <w:insideV w:val="nil"/>
          <w:tl2br w:val="nil"/>
          <w:tr2bl w:val="nil"/>
        </w:tcBorders>
        <w:textDirection w:val="lrTb"/>
      </w:tcPr>
    </w:tblStylePr>
    <w:tblStylePr w:type="lastRow">
      <w:rPr>
        <w:b/>
        <w:bCs/>
      </w:rPr>
      <w:tblPr>
        <w:tblStyle w:val="29"/>
        <w:tblLayout w:type="fixed"/>
      </w:tblPr>
      <w:tcPr>
        <w:tcBorders>
          <w:top w:val="single" w:color="FFFFFF" w:sz="4" w:space="0"/>
          <w:left w:val="nil"/>
          <w:bottom w:val="nil"/>
          <w:right w:val="nil"/>
          <w:insideH w:val="nil"/>
          <w:insideV w:val="nil"/>
          <w:tl2br w:val="nil"/>
          <w:tr2bl w:val="nil"/>
        </w:tcBorders>
        <w:textDirection w:val="lrTb"/>
      </w:tcPr>
    </w:tblStylePr>
    <w:tblStylePr w:type="firstCol">
      <w:rPr>
        <w:b/>
        <w:bCs/>
      </w:rPr>
      <w:tblPr>
        <w:tblStyle w:val="29"/>
        <w:tblLayout w:type="fixed"/>
      </w:tblPr>
      <w:tcPr>
        <w:tcBorders>
          <w:top w:val="nil"/>
          <w:left w:val="nil"/>
          <w:bottom w:val="nil"/>
          <w:right w:val="single" w:color="FFFFFF" w:sz="4" w:space="0"/>
          <w:insideH w:val="nil"/>
          <w:insideV w:val="nil"/>
          <w:tl2br w:val="nil"/>
          <w:tr2bl w:val="nil"/>
        </w:tcBorders>
        <w:textDirection w:val="lrTb"/>
      </w:tcPr>
    </w:tblStylePr>
    <w:tblStylePr w:type="lastCol">
      <w:rPr>
        <w:b/>
        <w:bCs/>
      </w:rPr>
      <w:tblPr>
        <w:tblStyle w:val="29"/>
        <w:tblLayout w:type="fixed"/>
      </w:tblPr>
      <w:tcPr>
        <w:tcBorders>
          <w:top w:val="nil"/>
          <w:left w:val="single" w:color="FFFFFF" w:sz="4" w:space="0"/>
          <w:bottom w:val="nil"/>
          <w:right w:val="nil"/>
          <w:insideH w:val="nil"/>
          <w:insideV w:val="nil"/>
          <w:tl2br w:val="nil"/>
          <w:tr2bl w:val="nil"/>
        </w:tcBorders>
        <w:textDirection w:val="lrTb"/>
      </w:tcPr>
    </w:tblStylePr>
    <w:tblStylePr w:type="band1Vert">
      <w:tblPr>
        <w:tblStyle w:val="29"/>
        <w:tblLayout w:type="fixed"/>
      </w:tblPr>
      <w:tcPr>
        <w:tcBorders>
          <w:top w:val="nil"/>
          <w:left w:val="single" w:color="FFFFFF" w:sz="4" w:space="0"/>
          <w:bottom w:val="nil"/>
          <w:right w:val="single" w:color="FFFFFF" w:sz="4" w:space="0"/>
          <w:insideH w:val="nil"/>
          <w:insideV w:val="nil"/>
          <w:tl2br w:val="nil"/>
          <w:tr2bl w:val="nil"/>
        </w:tcBorders>
        <w:textDirection w:val="lrTb"/>
      </w:tcPr>
    </w:tblStylePr>
    <w:tblStylePr w:type="band2Vert">
      <w:tblPr>
        <w:tblStyle w:val="29"/>
        <w:tblLayout w:type="fixed"/>
      </w:tblPr>
      <w:tcPr>
        <w:tcBorders>
          <w:top w:val="nil"/>
          <w:left w:val="single" w:color="FFFFFF" w:sz="4" w:space="0"/>
          <w:bottom w:val="nil"/>
          <w:right w:val="single" w:color="FFFFFF" w:sz="4" w:space="0"/>
          <w:insideH w:val="nil"/>
          <w:insideV w:val="nil"/>
          <w:tl2br w:val="nil"/>
          <w:tr2bl w:val="nil"/>
        </w:tcBorders>
        <w:textDirection w:val="lrTb"/>
      </w:tcPr>
    </w:tblStylePr>
    <w:tblStylePr w:type="band1Horz">
      <w:tblPr>
        <w:tblStyle w:val="29"/>
        <w:tblLayout w:type="fixed"/>
      </w:tblPr>
      <w:tcPr>
        <w:tcBorders>
          <w:top w:val="single" w:color="FFFFFF" w:sz="4" w:space="0"/>
          <w:left w:val="nil"/>
          <w:bottom w:val="single" w:color="FFFFFF" w:sz="4" w:space="0"/>
          <w:right w:val="nil"/>
          <w:insideH w:val="nil"/>
          <w:insideV w:val="nil"/>
          <w:tl2br w:val="nil"/>
          <w:tr2bl w:val="nil"/>
        </w:tcBorders>
        <w:textDirection w:val="lrTb"/>
      </w:tcPr>
    </w:tblStylePr>
    <w:tblStylePr w:type="neCell">
      <w:tblPr>
        <w:tblStyle w:val="29"/>
        <w:tblLayout w:type="fixed"/>
      </w:tblPr>
      <w:tcPr>
        <w:tcBorders>
          <w:top w:val="nil"/>
          <w:left w:val="nil"/>
          <w:bottom w:val="nil"/>
          <w:right w:val="nil"/>
          <w:insideH w:val="nil"/>
          <w:insideV w:val="nil"/>
          <w:tl2br w:val="nil"/>
          <w:tr2bl w:val="nil"/>
        </w:tcBorders>
        <w:textDirection w:val="lrTb"/>
      </w:tcPr>
    </w:tblStylePr>
    <w:tblStylePr w:type="nwCell">
      <w:tblPr>
        <w:tblStyle w:val="29"/>
        <w:tblLayout w:type="fixed"/>
      </w:tblPr>
      <w:tcPr>
        <w:tcBorders>
          <w:top w:val="nil"/>
          <w:left w:val="nil"/>
          <w:bottom w:val="nil"/>
          <w:right w:val="nil"/>
          <w:insideH w:val="nil"/>
          <w:insideV w:val="nil"/>
          <w:tl2br w:val="nil"/>
          <w:tr2bl w:val="nil"/>
        </w:tcBorders>
        <w:textDirection w:val="lrTb"/>
      </w:tcPr>
    </w:tblStylePr>
    <w:tblStylePr w:type="seCell">
      <w:tblPr>
        <w:tblStyle w:val="29"/>
        <w:tblLayout w:type="fixed"/>
      </w:tblPr>
      <w:tcPr>
        <w:tcBorders>
          <w:top w:val="nil"/>
          <w:left w:val="nil"/>
          <w:bottom w:val="nil"/>
          <w:right w:val="nil"/>
          <w:insideH w:val="nil"/>
          <w:insideV w:val="nil"/>
          <w:tl2br w:val="nil"/>
          <w:tr2bl w:val="nil"/>
        </w:tcBorders>
        <w:textDirection w:val="lrTb"/>
      </w:tcPr>
    </w:tblStylePr>
    <w:tblStylePr w:type="swCell">
      <w:tblPr>
        <w:tblStyle w:val="29"/>
        <w:tblLayout w:type="fixed"/>
      </w:tblPr>
      <w:tcPr>
        <w:tcBorders>
          <w:top w:val="nil"/>
          <w:left w:val="nil"/>
          <w:bottom w:val="nil"/>
          <w:right w:val="nil"/>
          <w:insideH w:val="nil"/>
          <w:insideV w:val="nil"/>
          <w:tl2br w:val="nil"/>
          <w:tr2bl w:val="nil"/>
        </w:tcBorders>
        <w:textDirection w:val="lrTb"/>
      </w:tcPr>
    </w:tblStylePr>
  </w:style>
  <w:style w:type="table" w:customStyle="1" w:styleId="148">
    <w:name w:val="Grid Table 2 Accent 1"/>
    <w:basedOn w:val="29"/>
    <w:uiPriority w:val="47"/>
    <w:pPr/>
    <w:tblPr>
      <w:tblStyle w:val="29"/>
      <w:tblStyleRowBandSize w:val="1"/>
      <w:tblStyleColBandSize w:val="1"/>
      <w:tblBorders>
        <w:top w:val="single" w:color="95B3D7" w:sz="2" w:space="0"/>
        <w:bottom w:val="single" w:color="95B3D7" w:sz="2" w:space="0"/>
        <w:insideH w:val="single" w:color="95B3D7" w:sz="2" w:space="0"/>
        <w:insideV w:val="single" w:color="95B3D7" w:sz="2" w:space="0"/>
      </w:tblBorders>
      <w:tblLayout w:type="fixed"/>
    </w:tblPr>
    <w:tcPr>
      <w:textDirection w:val="lrTb"/>
    </w:tcPr>
    <w:tblStylePr w:type="firstRow">
      <w:rPr>
        <w:b/>
        <w:bCs/>
      </w:rPr>
      <w:tblPr>
        <w:tblStyle w:val="29"/>
        <w:tblLayout w:type="fixed"/>
      </w:tblPr>
      <w:tcPr>
        <w:tcBorders>
          <w:top w:val="nil"/>
          <w:left w:val="nil"/>
          <w:bottom w:val="single" w:color="95B3D7" w:sz="12" w:space="0"/>
          <w:right w:val="nil"/>
          <w:insideH w:val="nil"/>
          <w:insideV w:val="nil"/>
          <w:tl2br w:val="nil"/>
          <w:tr2bl w:val="nil"/>
        </w:tcBorders>
        <w:shd w:val="clear" w:color="auto" w:fill="FFFFFF"/>
        <w:textDirection w:val="lrTb"/>
      </w:tcPr>
    </w:tblStylePr>
    <w:tblStylePr w:type="lastRow">
      <w:rPr>
        <w:b/>
        <w:bCs/>
      </w:rPr>
      <w:tblPr>
        <w:tblStyle w:val="29"/>
        <w:tblLayout w:type="fixed"/>
      </w:tblPr>
      <w:tcPr>
        <w:tcBorders>
          <w:top w:val="double" w:color="95B3D7" w:sz="2" w:space="0"/>
          <w:left w:val="nil"/>
          <w:bottom w:val="nil"/>
          <w:right w:val="nil"/>
          <w:insideH w:val="nil"/>
          <w:insideV w:val="nil"/>
          <w:tl2br w:val="nil"/>
          <w:tr2bl w:val="nil"/>
        </w:tcBorders>
        <w:shd w:val="clear" w:color="auto" w:fill="FFFFFF"/>
        <w:textDirection w:val="lrTb"/>
      </w:tcPr>
    </w:tblStylePr>
    <w:tblStylePr w:type="firstCol">
      <w:rPr>
        <w:b/>
        <w:bCs/>
      </w:rPr>
      <w:tblPr>
        <w:tblStyle w:val="29"/>
        <w:tblLayout w:type="fixed"/>
      </w:tblPr>
      <w:tcPr>
        <w:textDirection w:val="lrTb"/>
      </w:tcPr>
    </w:tblStylePr>
    <w:tblStylePr w:type="lastCol">
      <w:rPr>
        <w:b/>
        <w:bCs/>
      </w:rPr>
      <w:tblPr>
        <w:tblStyle w:val="29"/>
        <w:tblLayout w:type="fixed"/>
      </w:tblPr>
      <w:tcPr>
        <w:textDirection w:val="lrTb"/>
      </w:tcPr>
    </w:tblStylePr>
    <w:tblStylePr w:type="band1Vert">
      <w:tblPr>
        <w:tblStyle w:val="29"/>
        <w:tblLayout w:type="fixed"/>
      </w:tblPr>
      <w:tcPr>
        <w:shd w:val="clear" w:color="auto" w:fill="DBE5F1"/>
        <w:textDirection w:val="lrTb"/>
      </w:tcPr>
    </w:tblStylePr>
    <w:tblStylePr w:type="band1Horz">
      <w:tblPr>
        <w:tblStyle w:val="29"/>
        <w:tblLayout w:type="fixed"/>
      </w:tblPr>
      <w:tcPr>
        <w:shd w:val="clear" w:color="auto" w:fill="DBE5F1"/>
        <w:textDirection w:val="lrTb"/>
      </w:tcPr>
    </w:tblStylePr>
  </w:style>
  <w:style w:type="table" w:customStyle="1" w:styleId="149">
    <w:name w:val="Grid Table 1 Light Accent 1"/>
    <w:basedOn w:val="29"/>
    <w:uiPriority w:val="46"/>
    <w:pPr/>
    <w:tblPr>
      <w:tblStyle w:val="29"/>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Pr>
    <w:tcPr>
      <w:textDirection w:val="lrTb"/>
    </w:tcPr>
    <w:tblStylePr w:type="firstRow">
      <w:rPr>
        <w:b/>
        <w:bCs/>
      </w:rPr>
      <w:tblPr>
        <w:tblStyle w:val="29"/>
        <w:tblLayout w:type="fixed"/>
      </w:tblPr>
      <w:tcPr>
        <w:tcBorders>
          <w:top w:val="nil"/>
          <w:left w:val="nil"/>
          <w:bottom w:val="single" w:color="95B3D7" w:sz="12" w:space="0"/>
          <w:right w:val="nil"/>
          <w:insideH w:val="nil"/>
          <w:insideV w:val="nil"/>
          <w:tl2br w:val="nil"/>
          <w:tr2bl w:val="nil"/>
        </w:tcBorders>
        <w:textDirection w:val="lrTb"/>
      </w:tcPr>
    </w:tblStylePr>
    <w:tblStylePr w:type="lastRow">
      <w:rPr>
        <w:b/>
        <w:bCs/>
      </w:rPr>
      <w:tblPr>
        <w:tblStyle w:val="29"/>
        <w:tblLayout w:type="fixed"/>
      </w:tblPr>
      <w:tcPr>
        <w:tcBorders>
          <w:top w:val="double" w:color="95B3D7" w:sz="2" w:space="0"/>
          <w:left w:val="nil"/>
          <w:bottom w:val="nil"/>
          <w:right w:val="nil"/>
          <w:insideH w:val="nil"/>
          <w:insideV w:val="nil"/>
          <w:tl2br w:val="nil"/>
          <w:tr2bl w:val="nil"/>
        </w:tcBorders>
        <w:textDirection w:val="lrTb"/>
      </w:tcPr>
    </w:tblStylePr>
    <w:tblStylePr w:type="firstCol">
      <w:rPr>
        <w:b/>
        <w:bCs/>
      </w:rPr>
      <w:tblPr>
        <w:tblStyle w:val="29"/>
        <w:tblLayout w:type="fixed"/>
      </w:tblPr>
      <w:tcPr>
        <w:textDirection w:val="lrTb"/>
      </w:tcPr>
    </w:tblStylePr>
    <w:tblStylePr w:type="lastCol">
      <w:rPr>
        <w:b/>
        <w:bCs/>
      </w:rPr>
      <w:tblPr>
        <w:tblStyle w:val="29"/>
        <w:tblLayout w:type="fixed"/>
      </w:tblPr>
      <w:tcPr>
        <w:textDirection w:val="lrTb"/>
      </w:tcPr>
    </w:tblStylePr>
  </w:style>
  <w:style w:type="table" w:customStyle="1" w:styleId="150">
    <w:name w:val="List Table 3 Accent 5"/>
    <w:basedOn w:val="29"/>
    <w:uiPriority w:val="48"/>
    <w:pPr/>
    <w:tblPr>
      <w:tblStyle w:val="29"/>
      <w:tblStyleRowBandSize w:val="1"/>
      <w:tblStyleColBandSize w:val="1"/>
      <w:tblBorders>
        <w:top w:val="single" w:color="4BACC6" w:sz="4" w:space="0"/>
        <w:left w:val="single" w:color="4BACC6" w:sz="4" w:space="0"/>
        <w:bottom w:val="single" w:color="4BACC6" w:sz="4" w:space="0"/>
        <w:right w:val="single" w:color="4BACC6" w:sz="4" w:space="0"/>
      </w:tblBorders>
      <w:tblLayout w:type="fixed"/>
    </w:tblPr>
    <w:tcPr>
      <w:textDirection w:val="lrTb"/>
    </w:tcPr>
    <w:tblStylePr w:type="firstRow">
      <w:rPr>
        <w:b/>
        <w:bCs/>
        <w:color w:val="FFFFFF"/>
      </w:rPr>
      <w:tblPr>
        <w:tblStyle w:val="29"/>
        <w:tblLayout w:type="fixed"/>
      </w:tblPr>
      <w:tcPr>
        <w:shd w:val="clear" w:color="auto" w:fill="4BACC6"/>
        <w:textDirection w:val="lrTb"/>
      </w:tcPr>
    </w:tblStylePr>
    <w:tblStylePr w:type="lastRow">
      <w:rPr>
        <w:b/>
        <w:bCs/>
      </w:rPr>
      <w:tblPr>
        <w:tblStyle w:val="29"/>
        <w:tblLayout w:type="fixed"/>
      </w:tblPr>
      <w:tcPr>
        <w:tcBorders>
          <w:top w:val="double" w:color="4BACC6" w:sz="4" w:space="0"/>
          <w:left w:val="nil"/>
          <w:bottom w:val="nil"/>
          <w:right w:val="nil"/>
          <w:insideH w:val="nil"/>
          <w:insideV w:val="nil"/>
          <w:tl2br w:val="nil"/>
          <w:tr2bl w:val="nil"/>
        </w:tcBorders>
        <w:shd w:val="clear" w:color="auto" w:fill="FFFFFF"/>
        <w:textDirection w:val="lrTb"/>
      </w:tcPr>
    </w:tblStylePr>
    <w:tblStylePr w:type="firstCol">
      <w:rPr>
        <w:b/>
        <w:bCs/>
      </w:rPr>
      <w:tblPr>
        <w:tblStyle w:val="29"/>
        <w:tblLayout w:type="fixed"/>
      </w:tblPr>
      <w:tcPr>
        <w:tcBorders>
          <w:top w:val="nil"/>
          <w:left w:val="nil"/>
          <w:bottom w:val="nil"/>
          <w:right w:val="nil"/>
          <w:insideH w:val="nil"/>
          <w:insideV w:val="nil"/>
          <w:tl2br w:val="nil"/>
          <w:tr2bl w:val="nil"/>
        </w:tcBorders>
        <w:shd w:val="clear" w:color="auto" w:fill="FFFFFF"/>
        <w:textDirection w:val="lrTb"/>
      </w:tcPr>
    </w:tblStylePr>
    <w:tblStylePr w:type="lastCol">
      <w:rPr>
        <w:b/>
        <w:bCs/>
      </w:rPr>
      <w:tblPr>
        <w:tblStyle w:val="29"/>
        <w:tblLayout w:type="fixed"/>
      </w:tblPr>
      <w:tcPr>
        <w:tcBorders>
          <w:top w:val="nil"/>
          <w:left w:val="nil"/>
          <w:bottom w:val="nil"/>
          <w:right w:val="nil"/>
          <w:insideH w:val="nil"/>
          <w:insideV w:val="nil"/>
          <w:tl2br w:val="nil"/>
          <w:tr2bl w:val="nil"/>
        </w:tcBorders>
        <w:shd w:val="clear" w:color="auto" w:fill="FFFFFF"/>
        <w:textDirection w:val="lrTb"/>
      </w:tcPr>
    </w:tblStylePr>
    <w:tblStylePr w:type="band1Vert">
      <w:tblPr>
        <w:tblStyle w:val="29"/>
        <w:tblLayout w:type="fixed"/>
      </w:tblPr>
      <w:tcPr>
        <w:tcBorders>
          <w:top w:val="nil"/>
          <w:left w:val="single" w:color="4BACC6" w:sz="4" w:space="0"/>
          <w:bottom w:val="nil"/>
          <w:right w:val="single" w:color="4BACC6" w:sz="4" w:space="0"/>
          <w:insideH w:val="nil"/>
          <w:insideV w:val="nil"/>
          <w:tl2br w:val="nil"/>
          <w:tr2bl w:val="nil"/>
        </w:tcBorders>
        <w:textDirection w:val="lrTb"/>
      </w:tcPr>
    </w:tblStylePr>
    <w:tblStylePr w:type="band1Horz">
      <w:tblPr>
        <w:tblStyle w:val="29"/>
        <w:tblLayout w:type="fixed"/>
      </w:tblPr>
      <w:tcPr>
        <w:tcBorders>
          <w:top w:val="single" w:color="4BACC6" w:sz="4" w:space="0"/>
          <w:left w:val="nil"/>
          <w:bottom w:val="single" w:color="4BACC6" w:sz="4" w:space="0"/>
          <w:right w:val="nil"/>
          <w:insideH w:val="nil"/>
          <w:insideV w:val="nil"/>
          <w:tl2br w:val="nil"/>
          <w:tr2bl w:val="nil"/>
        </w:tcBorders>
        <w:textDirection w:val="lrTb"/>
      </w:tcPr>
    </w:tblStylePr>
    <w:tblStylePr w:type="neCell">
      <w:tblPr>
        <w:tblStyle w:val="29"/>
        <w:tblLayout w:type="fixed"/>
      </w:tblPr>
      <w:tcPr>
        <w:tcBorders>
          <w:top w:val="nil"/>
          <w:left w:val="nil"/>
          <w:bottom w:val="nil"/>
          <w:right w:val="nil"/>
          <w:insideH w:val="nil"/>
          <w:insideV w:val="nil"/>
          <w:tl2br w:val="nil"/>
          <w:tr2bl w:val="nil"/>
        </w:tcBorders>
        <w:textDirection w:val="lrTb"/>
      </w:tcPr>
    </w:tblStylePr>
    <w:tblStylePr w:type="nwCell">
      <w:tblPr>
        <w:tblStyle w:val="29"/>
        <w:tblLayout w:type="fixed"/>
      </w:tblPr>
      <w:tcPr>
        <w:tcBorders>
          <w:top w:val="nil"/>
          <w:left w:val="nil"/>
          <w:bottom w:val="nil"/>
          <w:right w:val="nil"/>
          <w:insideH w:val="nil"/>
          <w:insideV w:val="nil"/>
          <w:tl2br w:val="nil"/>
          <w:tr2bl w:val="nil"/>
        </w:tcBorders>
        <w:textDirection w:val="lrTb"/>
      </w:tcPr>
    </w:tblStylePr>
    <w:tblStylePr w:type="seCell">
      <w:tblPr>
        <w:tblStyle w:val="29"/>
        <w:tblLayout w:type="fixed"/>
      </w:tblPr>
      <w:tcPr>
        <w:tcBorders>
          <w:top w:val="double" w:color="4BACC6" w:sz="4" w:space="0"/>
          <w:left w:val="nil"/>
          <w:bottom w:val="nil"/>
          <w:right w:val="nil"/>
          <w:insideH w:val="nil"/>
          <w:insideV w:val="nil"/>
          <w:tl2br w:val="nil"/>
          <w:tr2bl w:val="nil"/>
        </w:tcBorders>
        <w:textDirection w:val="lrTb"/>
      </w:tcPr>
    </w:tblStylePr>
    <w:tblStylePr w:type="swCell">
      <w:tblPr>
        <w:tblStyle w:val="29"/>
        <w:tblLayout w:type="fixed"/>
      </w:tblPr>
      <w:tcPr>
        <w:tcBorders>
          <w:top w:val="double" w:color="4BACC6" w:sz="4" w:space="0"/>
          <w:left w:val="nil"/>
          <w:bottom w:val="nil"/>
          <w:right w:val="nil"/>
          <w:insideH w:val="nil"/>
          <w:insideV w:val="nil"/>
          <w:tl2br w:val="nil"/>
          <w:tr2bl w:val="nil"/>
        </w:tcBorders>
        <w:textDirection w:val="lrTb"/>
      </w:tcPr>
    </w:tblStylePr>
  </w:style>
</w:styles>
</file>

<file path=word/_rels/document.xml.rels><?xml version="1.0" encoding="UTF-8" standalone="yes"?>
<Relationships xmlns="http://schemas.openxmlformats.org/package/2006/relationships"><Relationship Id="rId90" Type="http://schemas.openxmlformats.org/officeDocument/2006/relationships/customXml" Target="../customXml/item1.xml"/><Relationship Id="rId9" Type="http://schemas.openxmlformats.org/officeDocument/2006/relationships/footer" Target="footer3.xml"/><Relationship Id="rId89" Type="http://schemas.openxmlformats.org/officeDocument/2006/relationships/image" Target="media/image78.png"/><Relationship Id="rId88" Type="http://schemas.openxmlformats.org/officeDocument/2006/relationships/image" Target="media/image77.png"/><Relationship Id="rId87" Type="http://schemas.openxmlformats.org/officeDocument/2006/relationships/image" Target="media/image76.png"/><Relationship Id="rId86" Type="http://schemas.openxmlformats.org/officeDocument/2006/relationships/image" Target="media/image75.png"/><Relationship Id="rId85" Type="http://schemas.openxmlformats.org/officeDocument/2006/relationships/image" Target="media/image74.png"/><Relationship Id="rId84" Type="http://schemas.openxmlformats.org/officeDocument/2006/relationships/image" Target="media/image73.png"/><Relationship Id="rId83" Type="http://schemas.openxmlformats.org/officeDocument/2006/relationships/image" Target="media/image72.png"/><Relationship Id="rId82" Type="http://schemas.openxmlformats.org/officeDocument/2006/relationships/image" Target="media/image71.png"/><Relationship Id="rId81" Type="http://schemas.openxmlformats.org/officeDocument/2006/relationships/image" Target="media/image70.png"/><Relationship Id="rId80" Type="http://schemas.openxmlformats.org/officeDocument/2006/relationships/image" Target="media/image69.png"/><Relationship Id="rId8" Type="http://schemas.openxmlformats.org/officeDocument/2006/relationships/footer" Target="footer2.xml"/><Relationship Id="rId79" Type="http://schemas.openxmlformats.org/officeDocument/2006/relationships/image" Target="media/image68.png"/><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footer" Target="footer1.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header" Target="header3.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2.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header" Target="header1.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settings" Target="setting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tyles" Target="style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中投期货</Company>
  <Pages>1</Pages>
  <Words>6460</Words>
  <Characters>36826</Characters>
  <Lines>306</Lines>
  <Paragraphs>86</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2018-05-07T08:10:00Z</dcterms:created>
  <dc:creator>姜云超</dc:creator>
  <cp:lastModifiedBy>Administrator</cp:lastModifiedBy>
  <cp:lastPrinted>2018-07-01T07:16:00Z</cp:lastPrinted>
  <dcterms:modified xsi:type="dcterms:W3CDTF">2018-07-02T05:31:21Z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