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微软雅黑" w:hAnsi="微软雅黑" w:eastAsia="微软雅黑"/>
          <w:b/>
          <w:sz w:val="28"/>
          <w:szCs w:val="28"/>
        </w:rPr>
      </w:pPr>
      <w:r>
        <w:rPr>
          <w:rFonts w:hint="eastAsia" w:ascii="微软雅黑" w:hAnsi="微软雅黑" w:eastAsia="微软雅黑"/>
          <w:b/>
          <w:sz w:val="28"/>
          <w:szCs w:val="28"/>
        </w:rPr>
        <w:t>宏观与基本面共乘，“铝”途向下寻底</w:t>
      </w:r>
    </w:p>
    <w:p>
      <w:pPr>
        <w:pStyle w:val="2"/>
        <w:spacing w:before="31" w:beforeLines="10" w:after="0"/>
        <w:jc w:val="right"/>
        <w:rPr>
          <w:rFonts w:ascii="微软雅黑" w:hAnsi="微软雅黑" w:eastAsia="微软雅黑"/>
          <w:sz w:val="24"/>
          <w:szCs w:val="24"/>
        </w:rPr>
      </w:pPr>
      <w:r>
        <w:rPr>
          <w:rFonts w:hint="eastAsia" w:ascii="微软雅黑" w:hAnsi="微软雅黑" w:eastAsia="微软雅黑"/>
          <w:sz w:val="24"/>
          <w:szCs w:val="24"/>
        </w:rPr>
        <w:t>——兴业期货专题报告</w:t>
      </w:r>
    </w:p>
    <w:p>
      <w:pPr>
        <w:pStyle w:val="2"/>
        <w:spacing w:before="31" w:beforeLines="10" w:after="0"/>
        <w:rPr>
          <w:rFonts w:ascii="微软雅黑" w:hAnsi="微软雅黑" w:eastAsia="微软雅黑"/>
          <w:sz w:val="24"/>
          <w:szCs w:val="24"/>
        </w:rPr>
      </w:pPr>
      <w:r>
        <w:rPr>
          <w:rFonts w:hint="eastAsia" w:ascii="微软雅黑" w:hAnsi="微软雅黑" w:eastAsia="微软雅黑"/>
          <w:sz w:val="24"/>
          <w:szCs w:val="24"/>
        </w:rPr>
        <w:t>报告</w:t>
      </w:r>
      <w:r>
        <w:rPr>
          <w:rFonts w:ascii="微软雅黑" w:hAnsi="微软雅黑" w:eastAsia="微软雅黑"/>
          <w:sz w:val="24"/>
          <w:szCs w:val="24"/>
        </w:rPr>
        <w:t>摘要</w:t>
      </w:r>
    </w:p>
    <w:p>
      <w:pPr>
        <w:spacing w:line="400" w:lineRule="exact"/>
        <w:ind w:firstLine="480" w:firstLineChars="200"/>
        <w:rPr>
          <w:rFonts w:ascii="微软雅黑" w:hAnsi="微软雅黑" w:eastAsia="微软雅黑"/>
          <w:bCs/>
          <w:sz w:val="24"/>
          <w:szCs w:val="24"/>
        </w:rPr>
      </w:pPr>
      <w:r>
        <w:rPr>
          <w:rFonts w:hint="eastAsia" w:ascii="微软雅黑" w:hAnsi="微软雅黑" w:eastAsia="微软雅黑"/>
          <w:b/>
          <w:bCs/>
          <w:sz w:val="24"/>
          <w:szCs w:val="24"/>
        </w:rPr>
        <w:t>上半年回顾：</w:t>
      </w:r>
      <w:r>
        <w:rPr>
          <w:rFonts w:hint="eastAsia" w:ascii="微软雅黑" w:hAnsi="微软雅黑" w:eastAsia="微软雅黑"/>
          <w:bCs/>
          <w:sz w:val="24"/>
          <w:szCs w:val="24"/>
        </w:rPr>
        <w:t>上半年铝企受资金压力以及成本高企等原因而产能受抑制，叠加国家出台消费刺激及减税减费等政策，需求超预期回暖，铝锭维持高去库状态，使得沪铝在有色金属中独树一帜。进入5月，山西氧化铝企业因赤泥污染问题被强制停产，氧化铝价格快速回升再次为铝价提供上冲动力。然事件风波过后，氧化铝企业生产恢复，其价格回落致成本支撑弱化，另外需求进入季节性淡季，铝锭去库速度趋缓，沪铝价格重心逐步下移。</w:t>
      </w:r>
    </w:p>
    <w:p>
      <w:pPr>
        <w:spacing w:line="400" w:lineRule="exact"/>
        <w:ind w:firstLine="480" w:firstLineChars="200"/>
        <w:rPr>
          <w:rFonts w:ascii="微软雅黑" w:hAnsi="微软雅黑" w:eastAsia="微软雅黑"/>
          <w:bCs/>
          <w:sz w:val="24"/>
          <w:szCs w:val="24"/>
        </w:rPr>
      </w:pPr>
      <w:r>
        <w:rPr>
          <w:rFonts w:hint="eastAsia" w:ascii="微软雅黑" w:hAnsi="微软雅黑" w:eastAsia="微软雅黑"/>
          <w:b/>
          <w:bCs/>
          <w:sz w:val="24"/>
          <w:szCs w:val="24"/>
        </w:rPr>
        <w:t>全球经济增速放缓，风险资产承压：</w:t>
      </w:r>
      <w:r>
        <w:rPr>
          <w:rFonts w:hint="eastAsia" w:ascii="微软雅黑" w:hAnsi="微软雅黑" w:eastAsia="微软雅黑"/>
          <w:bCs/>
          <w:sz w:val="24"/>
          <w:szCs w:val="24"/>
        </w:rPr>
        <w:t>全球主要经济体领先指标PMI持续走低，经济下行压力增加，为延缓经济下行速度，各国央行纷纷表态货币宽松。就美国而言，其经济未出现明显衰退，美联储倾向“预防性降息”以应对未来走势的不确定性，首次降息25BP概率更高。考虑到此次降息目的及幅度，其对美国经济基本面的改善作用相对有限。而欧元区面临的主要问题是外围贸易摩擦反复叠加内部存英国脱欧风险，欧央行重启货币宽松难扭转疲弱的经济基本面。中国的国家政策调控更注重稳健货币政策与积极财政政策的协调运作，以缓冲经济下行压力。</w:t>
      </w:r>
    </w:p>
    <w:p>
      <w:pPr>
        <w:spacing w:line="400" w:lineRule="exact"/>
        <w:ind w:firstLine="480" w:firstLineChars="200"/>
        <w:rPr>
          <w:rFonts w:ascii="微软雅黑" w:hAnsi="微软雅黑" w:eastAsia="微软雅黑"/>
          <w:bCs/>
          <w:sz w:val="24"/>
          <w:szCs w:val="24"/>
        </w:rPr>
      </w:pPr>
      <w:r>
        <w:rPr>
          <w:rFonts w:hint="eastAsia" w:ascii="微软雅黑" w:hAnsi="微软雅黑" w:eastAsia="微软雅黑"/>
          <w:b/>
          <w:bCs/>
          <w:sz w:val="24"/>
          <w:szCs w:val="24"/>
        </w:rPr>
        <w:t>需求难有亮眼表现：</w:t>
      </w:r>
      <w:r>
        <w:rPr>
          <w:rFonts w:hint="eastAsia" w:ascii="微软雅黑" w:hAnsi="微软雅黑" w:eastAsia="微软雅黑"/>
          <w:bCs/>
          <w:sz w:val="24"/>
          <w:szCs w:val="24"/>
        </w:rPr>
        <w:t>因全球经济增速放缓，中国经济增速亦承压，基建成为托底经济的主力，但受制于资金基建增速约在7.85%，对经济的拉动作用较为有限。另外汽车及家电在刺激政策的作用下跌势有望趋缓，但产销增速回升难度依旧较大。而房地产竣工面积在下半年开始缓慢回暖，以及国网钢芯铝绞线交货进度主要集中在下半年，房地产用铝量及线缆用铝可能较上半年小幅改善。</w:t>
      </w:r>
    </w:p>
    <w:p>
      <w:pPr>
        <w:spacing w:line="400" w:lineRule="exact"/>
        <w:ind w:firstLine="480" w:firstLineChars="200"/>
        <w:rPr>
          <w:rFonts w:ascii="微软雅黑" w:hAnsi="微软雅黑" w:eastAsia="微软雅黑"/>
          <w:bCs/>
          <w:sz w:val="24"/>
          <w:szCs w:val="24"/>
        </w:rPr>
      </w:pPr>
      <w:r>
        <w:rPr>
          <w:rFonts w:hint="eastAsia" w:ascii="微软雅黑" w:hAnsi="微软雅黑" w:eastAsia="微软雅黑"/>
          <w:b/>
          <w:bCs/>
          <w:sz w:val="24"/>
          <w:szCs w:val="24"/>
        </w:rPr>
        <w:t>利润修复过程中，产能释放或如期而至：</w:t>
      </w:r>
      <w:r>
        <w:rPr>
          <w:rFonts w:hint="eastAsia" w:ascii="微软雅黑" w:hAnsi="微软雅黑" w:eastAsia="微软雅黑"/>
          <w:bCs/>
          <w:sz w:val="24"/>
          <w:szCs w:val="24"/>
        </w:rPr>
        <w:t>国内企业布局海外矿山，海外矿石成本优势将凸显有助于改善氧化铝企业盈利，另外山西赤泥污染事件造成的减产产能逐步恢复，氧化铝供应重回过剩，价格面临继续回落风险。电解铝生产成本受益下移，一方面对铝价的支撑作用减弱；另一方面，铝企盈利改善，下半年163万吨产能计划投产将如期而至，增加国内电解铝供应压力。</w:t>
      </w:r>
    </w:p>
    <w:p>
      <w:pPr>
        <w:spacing w:line="400" w:lineRule="exact"/>
        <w:ind w:firstLine="480" w:firstLineChars="200"/>
        <w:rPr>
          <w:rFonts w:ascii="微软雅黑" w:hAnsi="微软雅黑" w:eastAsia="微软雅黑"/>
          <w:bCs/>
          <w:sz w:val="24"/>
          <w:szCs w:val="24"/>
        </w:rPr>
      </w:pPr>
      <w:r>
        <w:rPr>
          <w:rFonts w:hint="eastAsia" w:ascii="微软雅黑" w:hAnsi="微软雅黑" w:eastAsia="微软雅黑"/>
          <w:b/>
          <w:bCs/>
          <w:sz w:val="24"/>
          <w:szCs w:val="24"/>
        </w:rPr>
        <w:t>策略建议：</w:t>
      </w:r>
      <w:r>
        <w:rPr>
          <w:rFonts w:hint="eastAsia" w:ascii="微软雅黑" w:hAnsi="微软雅黑" w:eastAsia="微软雅黑"/>
          <w:bCs/>
          <w:sz w:val="24"/>
          <w:szCs w:val="24"/>
        </w:rPr>
        <w:t>2019年全球经济增速放缓，而中美贸易摩擦反复更是为未来走势增加不确定性，市场风险偏好较为谨慎。另外氧化铝价格的持续走低，为铝企创造盈利空间，下半年电解铝投产计划落实，而三季度终端需求在全球经济“弱周期”背景下难有回升，国内电解铝大概率出现累库，从而拖累铝价。四季度“金九银十”仍值期待，届时下游需求的阶段性回暖对铝价形成支撑。料沪铝下半年先抑后震荡，运行区间13000-14000元/吨 。</w:t>
      </w:r>
    </w:p>
    <w:p>
      <w:pPr>
        <w:pStyle w:val="2"/>
        <w:spacing w:before="31" w:beforeLines="10" w:after="0"/>
        <w:rPr>
          <w:rFonts w:ascii="微软雅黑" w:hAnsi="微软雅黑" w:eastAsia="微软雅黑"/>
          <w:sz w:val="24"/>
          <w:szCs w:val="24"/>
        </w:rPr>
      </w:pPr>
      <w:r>
        <w:rPr>
          <w:rFonts w:hint="eastAsia" w:ascii="微软雅黑" w:hAnsi="微软雅黑" w:eastAsia="微软雅黑"/>
          <w:sz w:val="24"/>
          <w:szCs w:val="24"/>
        </w:rPr>
        <w:t>A 下半年宏观</w:t>
      </w:r>
      <w:r>
        <w:rPr>
          <w:rFonts w:ascii="微软雅黑" w:hAnsi="微软雅黑" w:eastAsia="微软雅黑"/>
          <w:sz w:val="24"/>
          <w:szCs w:val="24"/>
        </w:rPr>
        <w:t>展望</w:t>
      </w:r>
    </w:p>
    <w:p>
      <w:pPr>
        <w:adjustRightInd w:val="0"/>
        <w:snapToGrid w:val="0"/>
        <w:spacing w:line="400" w:lineRule="exact"/>
        <w:ind w:firstLine="480" w:firstLineChars="200"/>
        <w:rPr>
          <w:rFonts w:ascii="微软雅黑" w:hAnsi="微软雅黑" w:eastAsia="微软雅黑"/>
          <w:bCs/>
          <w:sz w:val="24"/>
          <w:szCs w:val="24"/>
        </w:rPr>
      </w:pPr>
      <w:r>
        <w:rPr>
          <w:rFonts w:hint="eastAsia" w:ascii="微软雅黑" w:hAnsi="微软雅黑" w:eastAsia="微软雅黑"/>
          <w:bCs/>
          <w:sz w:val="24"/>
          <w:szCs w:val="24"/>
        </w:rPr>
        <w:t>自2018年以来全球主要经济体出现GDP、制造</w:t>
      </w:r>
      <w:bookmarkStart w:id="0" w:name="_GoBack"/>
      <w:bookmarkEnd w:id="0"/>
      <w:r>
        <w:rPr>
          <w:rFonts w:hint="eastAsia" w:ascii="微软雅黑" w:hAnsi="微软雅黑" w:eastAsia="微软雅黑"/>
          <w:bCs/>
          <w:sz w:val="24"/>
          <w:szCs w:val="24"/>
        </w:rPr>
        <w:t>业PMI集体下滑的局面。当前中欧PMI已回落至荣枯线下方，美国ISM制造业亦从61的高位回落至5月的52.1；中欧GDP双双下滑，而美国经济虽呈现韧性，但其在税改和扩大赤字财政等政策利好的边际减弱、贸易摩擦风险不确定以及地缘政治风险共振下，其经济下行压力不容小觑。</w:t>
      </w:r>
    </w:p>
    <w:tbl>
      <w:tblPr>
        <w:tblStyle w:val="7"/>
        <w:tblW w:w="8208" w:type="dxa"/>
        <w:tblInd w:w="109" w:type="dxa"/>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
      <w:tblGrid>
        <w:gridCol w:w="4104"/>
        <w:gridCol w:w="4104"/>
      </w:tblGrid>
      <w:tr>
        <w:tblPrEx>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Ex>
        <w:trPr>
          <w:trHeight w:val="284" w:hRule="atLeast"/>
        </w:trPr>
        <w:tc>
          <w:tcPr>
            <w:tcW w:w="4104" w:type="dxa"/>
            <w:vAlign w:val="center"/>
          </w:tcPr>
          <w:p>
            <w:pPr>
              <w:pStyle w:val="3"/>
              <w:rPr>
                <w:rFonts w:ascii="微软雅黑" w:hAnsi="微软雅黑" w:eastAsia="微软雅黑"/>
                <w:sz w:val="21"/>
                <w:szCs w:val="21"/>
              </w:rPr>
            </w:pPr>
            <w:r>
              <w:rPr>
                <w:rFonts w:hint="eastAsia" w:ascii="微软雅黑" w:hAnsi="微软雅黑" w:eastAsia="微软雅黑"/>
                <w:sz w:val="21"/>
                <w:szCs w:val="21"/>
              </w:rPr>
              <w:t>图</w:t>
            </w:r>
            <w:r>
              <w:rPr>
                <w:rFonts w:ascii="微软雅黑" w:hAnsi="微软雅黑" w:eastAsia="微软雅黑"/>
                <w:sz w:val="21"/>
                <w:szCs w:val="21"/>
              </w:rPr>
              <w:t>1</w:t>
            </w:r>
            <w:r>
              <w:rPr>
                <w:rFonts w:hint="eastAsia" w:ascii="微软雅黑" w:hAnsi="微软雅黑" w:eastAsia="微软雅黑"/>
                <w:sz w:val="21"/>
                <w:szCs w:val="21"/>
              </w:rPr>
              <w:t xml:space="preserve"> 重要经济体PMI集体下滑</w:t>
            </w:r>
          </w:p>
        </w:tc>
        <w:tc>
          <w:tcPr>
            <w:tcW w:w="4104" w:type="dxa"/>
            <w:vAlign w:val="center"/>
          </w:tcPr>
          <w:p>
            <w:pPr>
              <w:pStyle w:val="3"/>
              <w:rPr>
                <w:rFonts w:ascii="微软雅黑" w:hAnsi="微软雅黑" w:eastAsia="微软雅黑"/>
                <w:sz w:val="21"/>
                <w:szCs w:val="21"/>
              </w:rPr>
            </w:pPr>
            <w:r>
              <w:rPr>
                <w:rFonts w:hint="eastAsia" w:ascii="微软雅黑" w:hAnsi="微软雅黑" w:eastAsia="微软雅黑"/>
                <w:sz w:val="21"/>
                <w:szCs w:val="21"/>
              </w:rPr>
              <w:t>图2美国经济增速将放缓</w:t>
            </w:r>
          </w:p>
        </w:tc>
      </w:tr>
      <w:tr>
        <w:tblPrEx>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Ex>
        <w:trPr>
          <w:trHeight w:val="284" w:hRule="atLeast"/>
        </w:trPr>
        <w:tc>
          <w:tcPr>
            <w:tcW w:w="4104" w:type="dxa"/>
            <w:vAlign w:val="center"/>
          </w:tcPr>
          <w:p>
            <w:pPr>
              <w:ind w:right="-105" w:rightChars="-50"/>
              <w:rPr>
                <w:rFonts w:ascii="微软雅黑" w:hAnsi="微软雅黑" w:eastAsia="微软雅黑"/>
                <w:szCs w:val="21"/>
              </w:rPr>
            </w:pPr>
            <w:r>
              <w:drawing>
                <wp:inline distT="0" distB="0" distL="0" distR="0">
                  <wp:extent cx="2466975" cy="16668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466975" cy="1666875"/>
                          </a:xfrm>
                          <a:prstGeom prst="rect">
                            <a:avLst/>
                          </a:prstGeom>
                          <a:noFill/>
                          <a:ln>
                            <a:noFill/>
                          </a:ln>
                        </pic:spPr>
                      </pic:pic>
                    </a:graphicData>
                  </a:graphic>
                </wp:inline>
              </w:drawing>
            </w:r>
          </w:p>
        </w:tc>
        <w:tc>
          <w:tcPr>
            <w:tcW w:w="4104" w:type="dxa"/>
            <w:vAlign w:val="center"/>
          </w:tcPr>
          <w:p>
            <w:pPr>
              <w:rPr>
                <w:b/>
                <w:bCs/>
              </w:rPr>
            </w:pPr>
            <w:r>
              <w:drawing>
                <wp:inline distT="0" distB="0" distL="0" distR="0">
                  <wp:extent cx="2466975" cy="16668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466975" cy="166687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Ex>
        <w:trPr>
          <w:trHeight w:val="284" w:hRule="atLeast"/>
        </w:trPr>
        <w:tc>
          <w:tcPr>
            <w:tcW w:w="4104" w:type="dxa"/>
            <w:vAlign w:val="center"/>
          </w:tcPr>
          <w:p>
            <w:pPr>
              <w:pStyle w:val="3"/>
              <w:wordWrap w:val="0"/>
              <w:jc w:val="right"/>
              <w:rPr>
                <w:rFonts w:ascii="微软雅黑" w:hAnsi="微软雅黑" w:eastAsia="微软雅黑"/>
                <w:sz w:val="18"/>
                <w:szCs w:val="18"/>
              </w:rPr>
            </w:pPr>
            <w:r>
              <w:rPr>
                <w:rFonts w:hint="eastAsia" w:ascii="微软雅黑" w:hAnsi="微软雅黑" w:eastAsia="微软雅黑"/>
                <w:b/>
                <w:sz w:val="15"/>
                <w:szCs w:val="15"/>
              </w:rPr>
              <w:t xml:space="preserve">  </w:t>
            </w:r>
            <w:r>
              <w:rPr>
                <w:rFonts w:ascii="微软雅黑" w:hAnsi="微软雅黑" w:eastAsia="微软雅黑"/>
                <w:b/>
                <w:sz w:val="15"/>
                <w:szCs w:val="15"/>
              </w:rPr>
              <w:t xml:space="preserve">             </w:t>
            </w:r>
          </w:p>
        </w:tc>
        <w:tc>
          <w:tcPr>
            <w:tcW w:w="4104" w:type="dxa"/>
            <w:vAlign w:val="center"/>
          </w:tcPr>
          <w:p>
            <w:pPr>
              <w:pStyle w:val="3"/>
              <w:jc w:val="right"/>
              <w:rPr>
                <w:rFonts w:ascii="微软雅黑" w:hAnsi="微软雅黑" w:eastAsia="微软雅黑"/>
                <w:sz w:val="18"/>
                <w:szCs w:val="18"/>
              </w:rPr>
            </w:pPr>
            <w:r>
              <w:rPr>
                <w:rFonts w:hint="eastAsia" w:ascii="微软雅黑" w:hAnsi="微软雅黑" w:eastAsia="微软雅黑"/>
                <w:b/>
                <w:sz w:val="15"/>
                <w:szCs w:val="15"/>
              </w:rPr>
              <w:t>数据来源：</w:t>
            </w:r>
            <w:r>
              <w:rPr>
                <w:rFonts w:ascii="微软雅黑" w:hAnsi="微软雅黑" w:eastAsia="微软雅黑"/>
                <w:b/>
                <w:sz w:val="15"/>
                <w:szCs w:val="15"/>
              </w:rPr>
              <w:t>iFind</w:t>
            </w:r>
            <w:r>
              <w:rPr>
                <w:rFonts w:hint="eastAsia" w:ascii="微软雅黑" w:hAnsi="微软雅黑" w:eastAsia="微软雅黑"/>
                <w:b/>
                <w:sz w:val="15"/>
                <w:szCs w:val="15"/>
              </w:rPr>
              <w:t>、兴业期货研究咨询部</w:t>
            </w:r>
          </w:p>
        </w:tc>
      </w:tr>
    </w:tbl>
    <w:p>
      <w:pPr>
        <w:spacing w:line="400" w:lineRule="exact"/>
        <w:ind w:firstLine="480" w:firstLineChars="200"/>
        <w:rPr>
          <w:rFonts w:ascii="微软雅黑" w:hAnsi="微软雅黑" w:eastAsia="微软雅黑"/>
          <w:bCs/>
          <w:sz w:val="24"/>
          <w:szCs w:val="24"/>
        </w:rPr>
      </w:pPr>
    </w:p>
    <w:p>
      <w:pPr>
        <w:spacing w:line="400" w:lineRule="exact"/>
        <w:ind w:firstLine="480" w:firstLineChars="200"/>
        <w:rPr>
          <w:rFonts w:ascii="微软雅黑" w:hAnsi="微软雅黑" w:eastAsia="微软雅黑"/>
          <w:bCs/>
          <w:sz w:val="24"/>
          <w:szCs w:val="24"/>
        </w:rPr>
      </w:pPr>
      <w:r>
        <w:rPr>
          <w:rFonts w:hint="eastAsia" w:ascii="微软雅黑" w:hAnsi="微软雅黑" w:eastAsia="微软雅黑"/>
          <w:bCs/>
          <w:sz w:val="24"/>
          <w:szCs w:val="24"/>
        </w:rPr>
        <w:t xml:space="preserve">7月10日美联储主席鲍威尔在半年度货币政策报告的证词陈述中释放强烈的鸽派信号，其表述显示美联储对经济现状的乐观程度减弱。除作为经济晴雨表的PMI持续下滑，对通胀低迷以及失业率抬升的担忧均引发市场强烈的降息预期。 </w:t>
      </w:r>
    </w:p>
    <w:p>
      <w:pPr>
        <w:spacing w:line="400" w:lineRule="exact"/>
        <w:ind w:firstLine="480" w:firstLineChars="200"/>
        <w:rPr>
          <w:rFonts w:ascii="微软雅黑" w:hAnsi="微软雅黑" w:eastAsia="微软雅黑"/>
          <w:bCs/>
          <w:sz w:val="24"/>
          <w:szCs w:val="24"/>
        </w:rPr>
      </w:pPr>
      <w:r>
        <w:rPr>
          <w:rFonts w:hint="eastAsia" w:ascii="微软雅黑" w:hAnsi="微软雅黑" w:eastAsia="微软雅黑"/>
          <w:bCs/>
          <w:sz w:val="24"/>
          <w:szCs w:val="24"/>
        </w:rPr>
        <w:t>2019年至今美国物价指数PCE及核心PCE双双回落，作为美联储最关注的的通胀指标核心PCE已降至5月的1.6%，与2%的目标相差较远。鲍威尔在会上表达了对通胀走弱的担忧，其一改之前‘通胀疲软只是暂时的’态度。此外，6月非农数据较5月明显改善，然失业率已处于70年以来的最低值，市场普遍认为失业率基本处于底部，进一步下降的空间不大。就6月失业率较5月的3.6%回升0.1pct，提升了失业率走高的预期。另外，6月平均小时工资环比增速较5月回落0.1pct，推升通胀的内生动力不足。</w:t>
      </w:r>
    </w:p>
    <w:tbl>
      <w:tblPr>
        <w:tblStyle w:val="7"/>
        <w:tblW w:w="8208" w:type="dxa"/>
        <w:tblInd w:w="109" w:type="dxa"/>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
      <w:tblGrid>
        <w:gridCol w:w="4104"/>
        <w:gridCol w:w="4104"/>
      </w:tblGrid>
      <w:tr>
        <w:tblPrEx>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Ex>
        <w:trPr>
          <w:trHeight w:val="284" w:hRule="atLeast"/>
        </w:trPr>
        <w:tc>
          <w:tcPr>
            <w:tcW w:w="4104" w:type="dxa"/>
            <w:vAlign w:val="center"/>
          </w:tcPr>
          <w:p>
            <w:pPr>
              <w:pStyle w:val="3"/>
              <w:rPr>
                <w:rFonts w:ascii="微软雅黑" w:hAnsi="微软雅黑" w:eastAsia="微软雅黑"/>
                <w:sz w:val="21"/>
                <w:szCs w:val="21"/>
              </w:rPr>
            </w:pPr>
            <w:r>
              <w:rPr>
                <w:rFonts w:hint="eastAsia" w:ascii="微软雅黑" w:hAnsi="微软雅黑" w:eastAsia="微软雅黑"/>
                <w:sz w:val="21"/>
                <w:szCs w:val="21"/>
              </w:rPr>
              <w:t>图3 核心PCE距离2%的目标较远</w:t>
            </w:r>
          </w:p>
        </w:tc>
        <w:tc>
          <w:tcPr>
            <w:tcW w:w="4104" w:type="dxa"/>
            <w:vAlign w:val="center"/>
          </w:tcPr>
          <w:p>
            <w:pPr>
              <w:pStyle w:val="3"/>
              <w:rPr>
                <w:rFonts w:ascii="微软雅黑" w:hAnsi="微软雅黑" w:eastAsia="微软雅黑"/>
                <w:sz w:val="21"/>
                <w:szCs w:val="21"/>
              </w:rPr>
            </w:pPr>
            <w:r>
              <w:rPr>
                <w:rFonts w:hint="eastAsia" w:ascii="微软雅黑" w:hAnsi="微软雅黑" w:eastAsia="微软雅黑"/>
                <w:sz w:val="21"/>
                <w:szCs w:val="21"/>
              </w:rPr>
              <w:t>图4</w:t>
            </w:r>
            <w:r>
              <w:rPr>
                <w:rFonts w:ascii="微软雅黑" w:hAnsi="微软雅黑" w:eastAsia="微软雅黑"/>
                <w:sz w:val="21"/>
                <w:szCs w:val="21"/>
              </w:rPr>
              <w:t xml:space="preserve"> </w:t>
            </w:r>
            <w:r>
              <w:rPr>
                <w:rFonts w:hint="eastAsia" w:ascii="微软雅黑" w:hAnsi="微软雅黑" w:eastAsia="微软雅黑"/>
                <w:sz w:val="21"/>
                <w:szCs w:val="21"/>
              </w:rPr>
              <w:t>担忧失业率回升</w:t>
            </w:r>
          </w:p>
        </w:tc>
      </w:tr>
      <w:tr>
        <w:tblPrEx>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Ex>
        <w:trPr>
          <w:trHeight w:val="284" w:hRule="atLeast"/>
        </w:trPr>
        <w:tc>
          <w:tcPr>
            <w:tcW w:w="4104" w:type="dxa"/>
            <w:vAlign w:val="center"/>
          </w:tcPr>
          <w:p>
            <w:pPr>
              <w:ind w:right="-105" w:rightChars="-50"/>
              <w:rPr>
                <w:rFonts w:ascii="微软雅黑" w:hAnsi="微软雅黑" w:eastAsia="微软雅黑"/>
                <w:szCs w:val="21"/>
              </w:rPr>
            </w:pPr>
            <w:r>
              <w:drawing>
                <wp:inline distT="0" distB="0" distL="0" distR="0">
                  <wp:extent cx="2468880" cy="1652270"/>
                  <wp:effectExtent l="0" t="0" r="762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a:stretch>
                            <a:fillRect/>
                          </a:stretch>
                        </pic:blipFill>
                        <pic:spPr>
                          <a:xfrm>
                            <a:off x="0" y="0"/>
                            <a:ext cx="2468880" cy="1652270"/>
                          </a:xfrm>
                          <a:prstGeom prst="rect">
                            <a:avLst/>
                          </a:prstGeom>
                        </pic:spPr>
                      </pic:pic>
                    </a:graphicData>
                  </a:graphic>
                </wp:inline>
              </w:drawing>
            </w:r>
          </w:p>
        </w:tc>
        <w:tc>
          <w:tcPr>
            <w:tcW w:w="4104" w:type="dxa"/>
            <w:vAlign w:val="center"/>
          </w:tcPr>
          <w:p>
            <w:pPr>
              <w:rPr>
                <w:b/>
                <w:bCs/>
              </w:rPr>
            </w:pPr>
            <w:r>
              <w:drawing>
                <wp:inline distT="0" distB="0" distL="0" distR="0">
                  <wp:extent cx="2468880" cy="1644015"/>
                  <wp:effectExtent l="0" t="0" r="762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
                          <a:stretch>
                            <a:fillRect/>
                          </a:stretch>
                        </pic:blipFill>
                        <pic:spPr>
                          <a:xfrm>
                            <a:off x="0" y="0"/>
                            <a:ext cx="2468880" cy="164401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Ex>
        <w:trPr>
          <w:trHeight w:val="284" w:hRule="atLeast"/>
        </w:trPr>
        <w:tc>
          <w:tcPr>
            <w:tcW w:w="4104" w:type="dxa"/>
            <w:vAlign w:val="center"/>
          </w:tcPr>
          <w:p>
            <w:pPr>
              <w:pStyle w:val="3"/>
              <w:wordWrap w:val="0"/>
              <w:jc w:val="right"/>
              <w:rPr>
                <w:rFonts w:ascii="微软雅黑" w:hAnsi="微软雅黑" w:eastAsia="微软雅黑"/>
                <w:sz w:val="18"/>
                <w:szCs w:val="18"/>
              </w:rPr>
            </w:pPr>
            <w:r>
              <w:rPr>
                <w:rFonts w:hint="eastAsia" w:ascii="微软雅黑" w:hAnsi="微软雅黑" w:eastAsia="微软雅黑"/>
                <w:b/>
                <w:sz w:val="15"/>
                <w:szCs w:val="15"/>
              </w:rPr>
              <w:t xml:space="preserve">  </w:t>
            </w:r>
            <w:r>
              <w:rPr>
                <w:rFonts w:ascii="微软雅黑" w:hAnsi="微软雅黑" w:eastAsia="微软雅黑"/>
                <w:b/>
                <w:sz w:val="15"/>
                <w:szCs w:val="15"/>
              </w:rPr>
              <w:t xml:space="preserve">             </w:t>
            </w:r>
          </w:p>
        </w:tc>
        <w:tc>
          <w:tcPr>
            <w:tcW w:w="4104" w:type="dxa"/>
            <w:vAlign w:val="center"/>
          </w:tcPr>
          <w:p>
            <w:pPr>
              <w:pStyle w:val="3"/>
              <w:jc w:val="right"/>
              <w:rPr>
                <w:rFonts w:ascii="微软雅黑" w:hAnsi="微软雅黑" w:eastAsia="微软雅黑"/>
                <w:sz w:val="18"/>
                <w:szCs w:val="18"/>
              </w:rPr>
            </w:pPr>
            <w:r>
              <w:rPr>
                <w:rFonts w:hint="eastAsia" w:ascii="微软雅黑" w:hAnsi="微软雅黑" w:eastAsia="微软雅黑"/>
                <w:b/>
                <w:sz w:val="15"/>
                <w:szCs w:val="15"/>
              </w:rPr>
              <w:t>数据来源：</w:t>
            </w:r>
            <w:r>
              <w:rPr>
                <w:rFonts w:ascii="微软雅黑" w:hAnsi="微软雅黑" w:eastAsia="微软雅黑"/>
                <w:b/>
                <w:sz w:val="15"/>
                <w:szCs w:val="15"/>
              </w:rPr>
              <w:t>iFind</w:t>
            </w:r>
            <w:r>
              <w:rPr>
                <w:rFonts w:hint="eastAsia" w:ascii="微软雅黑" w:hAnsi="微软雅黑" w:eastAsia="微软雅黑"/>
                <w:b/>
                <w:sz w:val="15"/>
                <w:szCs w:val="15"/>
              </w:rPr>
              <w:t>、</w:t>
            </w:r>
            <w:r>
              <w:rPr>
                <w:rFonts w:hint="eastAsia" w:ascii="微软雅黑" w:hAnsi="微软雅黑" w:eastAsia="微软雅黑"/>
                <w:b/>
                <w:bCs/>
                <w:sz w:val="15"/>
                <w:szCs w:val="15"/>
              </w:rPr>
              <w:t>CME Group、</w:t>
            </w:r>
            <w:r>
              <w:rPr>
                <w:rFonts w:hint="eastAsia" w:ascii="微软雅黑" w:hAnsi="微软雅黑" w:eastAsia="微软雅黑"/>
                <w:b/>
                <w:sz w:val="15"/>
                <w:szCs w:val="15"/>
              </w:rPr>
              <w:t>兴业期货研究咨询部</w:t>
            </w:r>
          </w:p>
        </w:tc>
      </w:tr>
    </w:tbl>
    <w:p>
      <w:pPr>
        <w:spacing w:line="400" w:lineRule="exact"/>
        <w:ind w:firstLine="480" w:firstLineChars="200"/>
        <w:rPr>
          <w:rFonts w:ascii="微软雅黑" w:hAnsi="微软雅黑" w:eastAsia="微软雅黑"/>
          <w:bCs/>
          <w:sz w:val="24"/>
          <w:szCs w:val="24"/>
        </w:rPr>
      </w:pPr>
    </w:p>
    <w:p>
      <w:pPr>
        <w:spacing w:line="400" w:lineRule="exact"/>
        <w:ind w:firstLine="480" w:firstLineChars="200"/>
        <w:rPr>
          <w:rFonts w:ascii="微软雅黑" w:hAnsi="微软雅黑" w:eastAsia="微软雅黑"/>
          <w:bCs/>
          <w:sz w:val="24"/>
          <w:szCs w:val="24"/>
        </w:rPr>
      </w:pPr>
      <w:r>
        <w:rPr>
          <w:rFonts w:hint="eastAsia" w:ascii="微软雅黑" w:hAnsi="微软雅黑" w:eastAsia="微软雅黑"/>
          <w:bCs/>
          <w:sz w:val="24"/>
          <w:szCs w:val="24"/>
        </w:rPr>
        <w:t>自1982年以来，共出现4次10年期美债收益率与3月期美债收益率倒挂的现象，每一次倒挂都对应着美联储采取降息的手段以应对经济衰退。2019年美债利率再次出现倒挂，亦支持美联储年内降息。此次降息起点为2.25%-2.5%，低于历次降息起点。另外美国经济数据未出现危机时的加速衰退，下行速度较为温和，因此美联储倾向“预防性降息”，首次降息25BP概率更高。据CME FED Watch显示，美联储7月降息概率达100%，其中降至2%-2.25%区间的概率为70.8%，降至1.75%-2%区间的概率为29.2%。</w:t>
      </w:r>
    </w:p>
    <w:tbl>
      <w:tblPr>
        <w:tblStyle w:val="7"/>
        <w:tblW w:w="8208" w:type="dxa"/>
        <w:tblInd w:w="109" w:type="dxa"/>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
      <w:tblGrid>
        <w:gridCol w:w="4104"/>
        <w:gridCol w:w="4104"/>
      </w:tblGrid>
      <w:tr>
        <w:tblPrEx>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Ex>
        <w:trPr>
          <w:trHeight w:val="284" w:hRule="atLeast"/>
        </w:trPr>
        <w:tc>
          <w:tcPr>
            <w:tcW w:w="4104" w:type="dxa"/>
            <w:vAlign w:val="center"/>
          </w:tcPr>
          <w:p>
            <w:pPr>
              <w:pStyle w:val="3"/>
              <w:rPr>
                <w:rFonts w:ascii="微软雅黑" w:hAnsi="微软雅黑" w:eastAsia="微软雅黑"/>
                <w:sz w:val="21"/>
                <w:szCs w:val="21"/>
              </w:rPr>
            </w:pPr>
            <w:r>
              <w:rPr>
                <w:rFonts w:hint="eastAsia" w:ascii="微软雅黑" w:hAnsi="微软雅黑" w:eastAsia="微软雅黑"/>
                <w:sz w:val="21"/>
                <w:szCs w:val="21"/>
              </w:rPr>
              <w:t>图5 美债利率倒挂后通常</w:t>
            </w:r>
            <w:r>
              <w:rPr>
                <w:rFonts w:ascii="微软雅黑" w:hAnsi="微软雅黑" w:eastAsia="微软雅黑"/>
                <w:sz w:val="21"/>
                <w:szCs w:val="21"/>
              </w:rPr>
              <w:t>对应着</w:t>
            </w:r>
            <w:r>
              <w:rPr>
                <w:rFonts w:hint="eastAsia" w:ascii="微软雅黑" w:hAnsi="微软雅黑" w:eastAsia="微软雅黑"/>
                <w:sz w:val="21"/>
                <w:szCs w:val="21"/>
              </w:rPr>
              <w:t>降息</w:t>
            </w:r>
          </w:p>
        </w:tc>
        <w:tc>
          <w:tcPr>
            <w:tcW w:w="4104" w:type="dxa"/>
            <w:vAlign w:val="center"/>
          </w:tcPr>
          <w:p>
            <w:pPr>
              <w:pStyle w:val="3"/>
              <w:rPr>
                <w:rFonts w:ascii="微软雅黑" w:hAnsi="微软雅黑" w:eastAsia="微软雅黑"/>
                <w:sz w:val="21"/>
                <w:szCs w:val="21"/>
              </w:rPr>
            </w:pPr>
            <w:r>
              <w:rPr>
                <w:rFonts w:hint="eastAsia" w:ascii="微软雅黑" w:hAnsi="微软雅黑" w:eastAsia="微软雅黑"/>
                <w:sz w:val="21"/>
                <w:szCs w:val="21"/>
              </w:rPr>
              <w:t>图6</w:t>
            </w:r>
            <w:r>
              <w:rPr>
                <w:rFonts w:ascii="微软雅黑" w:hAnsi="微软雅黑" w:eastAsia="微软雅黑"/>
                <w:sz w:val="21"/>
                <w:szCs w:val="21"/>
              </w:rPr>
              <w:t xml:space="preserve"> </w:t>
            </w:r>
            <w:r>
              <w:rPr>
                <w:rFonts w:hint="eastAsia" w:ascii="微软雅黑" w:hAnsi="微软雅黑" w:eastAsia="微软雅黑"/>
                <w:sz w:val="21"/>
                <w:szCs w:val="21"/>
              </w:rPr>
              <w:t>2019年7月美联储目标利率概率走势</w:t>
            </w:r>
          </w:p>
        </w:tc>
      </w:tr>
      <w:tr>
        <w:tblPrEx>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Ex>
        <w:trPr>
          <w:trHeight w:val="284" w:hRule="atLeast"/>
        </w:trPr>
        <w:tc>
          <w:tcPr>
            <w:tcW w:w="4104" w:type="dxa"/>
            <w:vAlign w:val="center"/>
          </w:tcPr>
          <w:p>
            <w:pPr>
              <w:ind w:right="-105" w:rightChars="-50"/>
              <w:rPr>
                <w:rFonts w:ascii="微软雅黑" w:hAnsi="微软雅黑" w:eastAsia="微软雅黑"/>
                <w:szCs w:val="21"/>
              </w:rPr>
            </w:pPr>
            <w:r>
              <w:drawing>
                <wp:inline distT="0" distB="0" distL="0" distR="0">
                  <wp:extent cx="2468880" cy="1647190"/>
                  <wp:effectExtent l="0" t="0" r="762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8"/>
                          <a:stretch>
                            <a:fillRect/>
                          </a:stretch>
                        </pic:blipFill>
                        <pic:spPr>
                          <a:xfrm>
                            <a:off x="0" y="0"/>
                            <a:ext cx="2468880" cy="1647190"/>
                          </a:xfrm>
                          <a:prstGeom prst="rect">
                            <a:avLst/>
                          </a:prstGeom>
                        </pic:spPr>
                      </pic:pic>
                    </a:graphicData>
                  </a:graphic>
                </wp:inline>
              </w:drawing>
            </w:r>
          </w:p>
        </w:tc>
        <w:tc>
          <w:tcPr>
            <w:tcW w:w="4104" w:type="dxa"/>
            <w:vAlign w:val="center"/>
          </w:tcPr>
          <w:p>
            <w:pPr>
              <w:rPr>
                <w:b/>
                <w:bCs/>
              </w:rPr>
            </w:pPr>
            <w:r>
              <w:drawing>
                <wp:inline distT="0" distB="0" distL="0" distR="0">
                  <wp:extent cx="2466975" cy="13620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466975" cy="136207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Ex>
        <w:trPr>
          <w:trHeight w:val="284" w:hRule="atLeast"/>
        </w:trPr>
        <w:tc>
          <w:tcPr>
            <w:tcW w:w="4104" w:type="dxa"/>
            <w:vAlign w:val="center"/>
          </w:tcPr>
          <w:p>
            <w:pPr>
              <w:pStyle w:val="3"/>
              <w:wordWrap w:val="0"/>
              <w:jc w:val="right"/>
              <w:rPr>
                <w:rFonts w:ascii="微软雅黑" w:hAnsi="微软雅黑" w:eastAsia="微软雅黑"/>
                <w:sz w:val="18"/>
                <w:szCs w:val="18"/>
              </w:rPr>
            </w:pPr>
            <w:r>
              <w:rPr>
                <w:rFonts w:hint="eastAsia" w:ascii="微软雅黑" w:hAnsi="微软雅黑" w:eastAsia="微软雅黑"/>
                <w:b/>
                <w:sz w:val="15"/>
                <w:szCs w:val="15"/>
              </w:rPr>
              <w:t xml:space="preserve">  </w:t>
            </w:r>
            <w:r>
              <w:rPr>
                <w:rFonts w:ascii="微软雅黑" w:hAnsi="微软雅黑" w:eastAsia="微软雅黑"/>
                <w:b/>
                <w:sz w:val="15"/>
                <w:szCs w:val="15"/>
              </w:rPr>
              <w:t xml:space="preserve">             </w:t>
            </w:r>
          </w:p>
        </w:tc>
        <w:tc>
          <w:tcPr>
            <w:tcW w:w="4104" w:type="dxa"/>
            <w:vAlign w:val="center"/>
          </w:tcPr>
          <w:p>
            <w:pPr>
              <w:pStyle w:val="3"/>
              <w:jc w:val="right"/>
              <w:rPr>
                <w:rFonts w:ascii="微软雅黑" w:hAnsi="微软雅黑" w:eastAsia="微软雅黑"/>
                <w:sz w:val="18"/>
                <w:szCs w:val="18"/>
              </w:rPr>
            </w:pPr>
            <w:r>
              <w:rPr>
                <w:rFonts w:hint="eastAsia" w:ascii="微软雅黑" w:hAnsi="微软雅黑" w:eastAsia="微软雅黑"/>
                <w:b/>
                <w:sz w:val="15"/>
                <w:szCs w:val="15"/>
              </w:rPr>
              <w:t>数据来源：</w:t>
            </w:r>
            <w:r>
              <w:rPr>
                <w:rFonts w:ascii="微软雅黑" w:hAnsi="微软雅黑" w:eastAsia="微软雅黑"/>
                <w:b/>
                <w:sz w:val="15"/>
                <w:szCs w:val="15"/>
              </w:rPr>
              <w:t>iFind</w:t>
            </w:r>
            <w:r>
              <w:rPr>
                <w:rFonts w:hint="eastAsia" w:ascii="微软雅黑" w:hAnsi="微软雅黑" w:eastAsia="微软雅黑"/>
                <w:b/>
                <w:sz w:val="15"/>
                <w:szCs w:val="15"/>
              </w:rPr>
              <w:t>、</w:t>
            </w:r>
            <w:r>
              <w:rPr>
                <w:rFonts w:hint="eastAsia" w:ascii="微软雅黑" w:hAnsi="微软雅黑" w:eastAsia="微软雅黑"/>
                <w:b/>
                <w:bCs/>
                <w:sz w:val="15"/>
                <w:szCs w:val="15"/>
              </w:rPr>
              <w:t>CME Group、</w:t>
            </w:r>
            <w:r>
              <w:rPr>
                <w:rFonts w:hint="eastAsia" w:ascii="微软雅黑" w:hAnsi="微软雅黑" w:eastAsia="微软雅黑"/>
                <w:b/>
                <w:sz w:val="15"/>
                <w:szCs w:val="15"/>
              </w:rPr>
              <w:t>兴业期货研究咨询部</w:t>
            </w:r>
          </w:p>
        </w:tc>
      </w:tr>
    </w:tbl>
    <w:p>
      <w:pPr>
        <w:adjustRightInd w:val="0"/>
        <w:snapToGrid w:val="0"/>
        <w:spacing w:before="50" w:after="50" w:line="400" w:lineRule="exact"/>
        <w:ind w:firstLine="480" w:firstLineChars="200"/>
        <w:rPr>
          <w:rFonts w:ascii="微软雅黑" w:hAnsi="微软雅黑" w:eastAsia="微软雅黑"/>
          <w:bCs/>
          <w:sz w:val="24"/>
          <w:szCs w:val="24"/>
        </w:rPr>
      </w:pPr>
      <w:r>
        <w:rPr>
          <w:rFonts w:hint="eastAsia" w:ascii="微软雅黑" w:hAnsi="微软雅黑" w:eastAsia="微软雅黑"/>
          <w:bCs/>
          <w:sz w:val="24"/>
          <w:szCs w:val="24"/>
        </w:rPr>
        <w:t>欧央行行长德拉吉6月18日于ECB央行论坛上表示，如果通胀始终不达目标，欧央行将采取降息或重启资产购买计划。欧元区货币政策维持通胀水平2%的目标（即调和CPI 2%）。</w:t>
      </w:r>
      <w:r>
        <w:rPr>
          <w:rFonts w:ascii="微软雅黑" w:hAnsi="微软雅黑" w:eastAsia="微软雅黑"/>
          <w:bCs/>
          <w:sz w:val="24"/>
          <w:szCs w:val="24"/>
        </w:rPr>
        <w:t>首先，欧洲央行自2014年以来维持三大利率不变。即欧洲央行主要再融资利率0%；欧洲央行边际贷款利率0.25%；欧洲央行存款便利利率-0.4%，利率前瞻指引已经被用到接近极限，利率政策已经没有空间。其次，欧央行推行的QE主要是购买欧元区各成员国国债以及超主权债券（PSPP），其中PSPP存在限制：即对单一主权国家债务的持有占比不能超过该国存量债券的33%。但目前PSPP中占比最大的德国已接近这一硬性约束，欧央行若重启QE将面临“无债可买”的局面。另外长期再融资（ LTRO ）是欧央行为银行提供低成本贷款且并未规定资金流向，因此银行自主权较大，据了解，LTRO资金多回存到欧央行，未介入资本市场或是放贷给实体经济，可见其对实体经济的提振作用有限。而定向长期再融资操作（ TLTRO ）鼓励银行向家庭和非金融企业放贷（除房贷），其对实体经济提振更为直接。因此一旦重启宽松，TLTRO大概率为首选。</w:t>
      </w:r>
    </w:p>
    <w:tbl>
      <w:tblPr>
        <w:tblStyle w:val="7"/>
        <w:tblW w:w="8208" w:type="dxa"/>
        <w:tblInd w:w="109" w:type="dxa"/>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
      <w:tblGrid>
        <w:gridCol w:w="4104"/>
        <w:gridCol w:w="4104"/>
      </w:tblGrid>
      <w:tr>
        <w:tblPrEx>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Ex>
        <w:trPr>
          <w:trHeight w:val="284" w:hRule="atLeast"/>
        </w:trPr>
        <w:tc>
          <w:tcPr>
            <w:tcW w:w="4104" w:type="dxa"/>
            <w:vAlign w:val="center"/>
          </w:tcPr>
          <w:p>
            <w:pPr>
              <w:pStyle w:val="3"/>
              <w:rPr>
                <w:rFonts w:ascii="微软雅黑" w:hAnsi="微软雅黑" w:eastAsia="微软雅黑"/>
                <w:sz w:val="21"/>
                <w:szCs w:val="21"/>
              </w:rPr>
            </w:pPr>
            <w:r>
              <w:rPr>
                <w:rFonts w:hint="eastAsia" w:ascii="微软雅黑" w:hAnsi="微软雅黑" w:eastAsia="微软雅黑"/>
                <w:sz w:val="21"/>
                <w:szCs w:val="21"/>
              </w:rPr>
              <w:t>图7 欧央行通胀离目标仍有距离</w:t>
            </w:r>
          </w:p>
        </w:tc>
        <w:tc>
          <w:tcPr>
            <w:tcW w:w="4104" w:type="dxa"/>
            <w:vAlign w:val="center"/>
          </w:tcPr>
          <w:p>
            <w:pPr>
              <w:pStyle w:val="3"/>
              <w:rPr>
                <w:rFonts w:ascii="微软雅黑" w:hAnsi="微软雅黑" w:eastAsia="微软雅黑"/>
                <w:sz w:val="21"/>
                <w:szCs w:val="21"/>
              </w:rPr>
            </w:pPr>
            <w:r>
              <w:rPr>
                <w:rFonts w:hint="eastAsia" w:ascii="微软雅黑" w:hAnsi="微软雅黑" w:eastAsia="微软雅黑"/>
                <w:sz w:val="21"/>
                <w:szCs w:val="21"/>
              </w:rPr>
              <w:t>图8 TLTRO提振经济更为直接</w:t>
            </w:r>
          </w:p>
        </w:tc>
      </w:tr>
      <w:tr>
        <w:tblPrEx>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Ex>
        <w:trPr>
          <w:trHeight w:val="284" w:hRule="atLeast"/>
        </w:trPr>
        <w:tc>
          <w:tcPr>
            <w:tcW w:w="4104" w:type="dxa"/>
            <w:vAlign w:val="center"/>
          </w:tcPr>
          <w:p>
            <w:pPr>
              <w:ind w:right="-105" w:rightChars="-50"/>
              <w:rPr>
                <w:rFonts w:ascii="微软雅黑" w:hAnsi="微软雅黑" w:eastAsia="微软雅黑"/>
                <w:szCs w:val="21"/>
              </w:rPr>
            </w:pPr>
            <w:r>
              <w:drawing>
                <wp:inline distT="0" distB="0" distL="0" distR="0">
                  <wp:extent cx="2468880" cy="1647190"/>
                  <wp:effectExtent l="0" t="0" r="762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0"/>
                          <a:stretch>
                            <a:fillRect/>
                          </a:stretch>
                        </pic:blipFill>
                        <pic:spPr>
                          <a:xfrm>
                            <a:off x="0" y="0"/>
                            <a:ext cx="2468880" cy="1647190"/>
                          </a:xfrm>
                          <a:prstGeom prst="rect">
                            <a:avLst/>
                          </a:prstGeom>
                        </pic:spPr>
                      </pic:pic>
                    </a:graphicData>
                  </a:graphic>
                </wp:inline>
              </w:drawing>
            </w:r>
          </w:p>
        </w:tc>
        <w:tc>
          <w:tcPr>
            <w:tcW w:w="4104" w:type="dxa"/>
            <w:vAlign w:val="center"/>
          </w:tcPr>
          <w:p>
            <w:pPr>
              <w:rPr>
                <w:b/>
                <w:bCs/>
              </w:rPr>
            </w:pPr>
            <w:r>
              <w:drawing>
                <wp:inline distT="0" distB="0" distL="0" distR="0">
                  <wp:extent cx="2468880" cy="1442720"/>
                  <wp:effectExtent l="0" t="0" r="7620" b="508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1"/>
                          <a:stretch>
                            <a:fillRect/>
                          </a:stretch>
                        </pic:blipFill>
                        <pic:spPr>
                          <a:xfrm>
                            <a:off x="0" y="0"/>
                            <a:ext cx="2468880" cy="144272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Ex>
        <w:trPr>
          <w:trHeight w:val="284" w:hRule="atLeast"/>
        </w:trPr>
        <w:tc>
          <w:tcPr>
            <w:tcW w:w="4104" w:type="dxa"/>
            <w:vAlign w:val="center"/>
          </w:tcPr>
          <w:p>
            <w:pPr>
              <w:pStyle w:val="3"/>
              <w:wordWrap w:val="0"/>
              <w:jc w:val="right"/>
              <w:rPr>
                <w:rFonts w:ascii="微软雅黑" w:hAnsi="微软雅黑" w:eastAsia="微软雅黑"/>
                <w:sz w:val="18"/>
                <w:szCs w:val="18"/>
              </w:rPr>
            </w:pPr>
            <w:r>
              <w:rPr>
                <w:rFonts w:hint="eastAsia" w:ascii="微软雅黑" w:hAnsi="微软雅黑" w:eastAsia="微软雅黑"/>
                <w:b/>
                <w:sz w:val="15"/>
                <w:szCs w:val="15"/>
              </w:rPr>
              <w:t xml:space="preserve">  </w:t>
            </w:r>
            <w:r>
              <w:rPr>
                <w:rFonts w:ascii="微软雅黑" w:hAnsi="微软雅黑" w:eastAsia="微软雅黑"/>
                <w:b/>
                <w:sz w:val="15"/>
                <w:szCs w:val="15"/>
              </w:rPr>
              <w:t xml:space="preserve">             </w:t>
            </w:r>
          </w:p>
        </w:tc>
        <w:tc>
          <w:tcPr>
            <w:tcW w:w="4104" w:type="dxa"/>
            <w:vAlign w:val="center"/>
          </w:tcPr>
          <w:p>
            <w:pPr>
              <w:pStyle w:val="3"/>
              <w:jc w:val="right"/>
              <w:rPr>
                <w:rFonts w:ascii="微软雅黑" w:hAnsi="微软雅黑" w:eastAsia="微软雅黑"/>
                <w:sz w:val="18"/>
                <w:szCs w:val="18"/>
              </w:rPr>
            </w:pPr>
            <w:r>
              <w:rPr>
                <w:rFonts w:hint="eastAsia" w:ascii="微软雅黑" w:hAnsi="微软雅黑" w:eastAsia="微软雅黑"/>
                <w:b/>
                <w:sz w:val="15"/>
                <w:szCs w:val="15"/>
              </w:rPr>
              <w:t>数据来源：</w:t>
            </w:r>
            <w:r>
              <w:rPr>
                <w:rFonts w:ascii="微软雅黑" w:hAnsi="微软雅黑" w:eastAsia="微软雅黑"/>
                <w:b/>
                <w:sz w:val="15"/>
                <w:szCs w:val="15"/>
              </w:rPr>
              <w:t>iFind</w:t>
            </w:r>
            <w:r>
              <w:rPr>
                <w:rFonts w:hint="eastAsia" w:ascii="微软雅黑" w:hAnsi="微软雅黑" w:eastAsia="微软雅黑"/>
                <w:b/>
                <w:sz w:val="15"/>
                <w:szCs w:val="15"/>
              </w:rPr>
              <w:t>、兴业期货研究咨询部</w:t>
            </w:r>
          </w:p>
        </w:tc>
      </w:tr>
    </w:tbl>
    <w:p>
      <w:pPr>
        <w:adjustRightInd w:val="0"/>
        <w:snapToGrid w:val="0"/>
        <w:spacing w:before="50" w:after="50" w:line="400" w:lineRule="exact"/>
        <w:ind w:firstLine="480" w:firstLineChars="200"/>
        <w:rPr>
          <w:rFonts w:ascii="微软雅黑" w:hAnsi="微软雅黑" w:eastAsia="微软雅黑"/>
          <w:bCs/>
          <w:sz w:val="24"/>
          <w:szCs w:val="24"/>
        </w:rPr>
      </w:pPr>
    </w:p>
    <w:p>
      <w:pPr>
        <w:adjustRightInd w:val="0"/>
        <w:snapToGrid w:val="0"/>
        <w:spacing w:before="50" w:after="50" w:line="400" w:lineRule="exact"/>
        <w:ind w:firstLine="480" w:firstLineChars="200"/>
        <w:rPr>
          <w:rFonts w:ascii="微软雅黑" w:hAnsi="微软雅黑" w:eastAsia="微软雅黑"/>
          <w:bCs/>
          <w:sz w:val="24"/>
          <w:szCs w:val="24"/>
        </w:rPr>
      </w:pPr>
      <w:r>
        <w:rPr>
          <w:rFonts w:hint="eastAsia" w:ascii="微软雅黑" w:hAnsi="微软雅黑" w:eastAsia="微软雅黑"/>
          <w:bCs/>
          <w:sz w:val="24"/>
          <w:szCs w:val="24"/>
        </w:rPr>
        <w:t xml:space="preserve">欧元区货物及服务出口在GDP中的占比维持在40%以上，净出口占比处于3.5%-5%，可见欧元区经济对外依赖度较高，其中按2018年数据测算，中美对欧出口增加的贡献率分别约在9%和30%。另外，2018年欧元区对中国新增出口金额较2017年下降率151亿欧元，抵消了对美国新增出口上升的112.4亿欧元。可见在贸易保护主义抬头，全球尤其是中国经济增速放缓导致欧元区出口增速下滑。另外欧元区内部失衡，英国脱欧迟迟未能落实，对无协议脱欧的担忧亦压制欧元区经济回升。 </w:t>
      </w:r>
    </w:p>
    <w:p>
      <w:pPr>
        <w:adjustRightInd w:val="0"/>
        <w:snapToGrid w:val="0"/>
        <w:spacing w:before="50" w:after="50" w:line="400" w:lineRule="exact"/>
        <w:ind w:firstLine="480" w:firstLineChars="200"/>
        <w:rPr>
          <w:rFonts w:ascii="微软雅黑" w:hAnsi="微软雅黑" w:eastAsia="微软雅黑"/>
          <w:bCs/>
          <w:sz w:val="24"/>
          <w:szCs w:val="24"/>
        </w:rPr>
      </w:pPr>
      <w:r>
        <w:rPr>
          <w:rFonts w:hint="eastAsia" w:ascii="微软雅黑" w:hAnsi="微软雅黑" w:eastAsia="微软雅黑"/>
          <w:bCs/>
          <w:sz w:val="24"/>
          <w:szCs w:val="24"/>
        </w:rPr>
        <w:t>欧元区面临的主要问题是外围贸易摩擦反复叠加内部存英国脱欧风险，这欧元区实行货币宽松未必能解决。从欧元区经济领先指标持续走低可见欧元区经济依旧存在下行风险，预计欧央行重启宽松难以扭转疲弱的经济基本面。</w:t>
      </w:r>
    </w:p>
    <w:tbl>
      <w:tblPr>
        <w:tblStyle w:val="7"/>
        <w:tblW w:w="8208" w:type="dxa"/>
        <w:tblInd w:w="109" w:type="dxa"/>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
      <w:tblGrid>
        <w:gridCol w:w="4104"/>
        <w:gridCol w:w="4104"/>
      </w:tblGrid>
      <w:tr>
        <w:tblPrEx>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Ex>
        <w:trPr>
          <w:trHeight w:val="284" w:hRule="atLeast"/>
        </w:trPr>
        <w:tc>
          <w:tcPr>
            <w:tcW w:w="4104" w:type="dxa"/>
            <w:vAlign w:val="center"/>
          </w:tcPr>
          <w:p>
            <w:pPr>
              <w:pStyle w:val="3"/>
              <w:rPr>
                <w:rFonts w:ascii="微软雅黑" w:hAnsi="微软雅黑" w:eastAsia="微软雅黑"/>
                <w:sz w:val="21"/>
                <w:szCs w:val="21"/>
              </w:rPr>
            </w:pPr>
            <w:r>
              <w:rPr>
                <w:rFonts w:hint="eastAsia" w:ascii="微软雅黑" w:hAnsi="微软雅黑" w:eastAsia="微软雅黑"/>
                <w:sz w:val="21"/>
                <w:szCs w:val="21"/>
              </w:rPr>
              <w:t>图9外需在欧元区经济中占比较大</w:t>
            </w:r>
          </w:p>
        </w:tc>
        <w:tc>
          <w:tcPr>
            <w:tcW w:w="4104" w:type="dxa"/>
            <w:vAlign w:val="center"/>
          </w:tcPr>
          <w:p>
            <w:pPr>
              <w:pStyle w:val="3"/>
              <w:rPr>
                <w:rFonts w:ascii="微软雅黑" w:hAnsi="微软雅黑" w:eastAsia="微软雅黑"/>
                <w:sz w:val="21"/>
                <w:szCs w:val="21"/>
              </w:rPr>
            </w:pPr>
            <w:r>
              <w:rPr>
                <w:rFonts w:hint="eastAsia" w:ascii="微软雅黑" w:hAnsi="微软雅黑" w:eastAsia="微软雅黑"/>
                <w:sz w:val="21"/>
                <w:szCs w:val="21"/>
              </w:rPr>
              <w:t>图10 欧元区经济领先指标持续走弱</w:t>
            </w:r>
          </w:p>
        </w:tc>
      </w:tr>
      <w:tr>
        <w:tblPrEx>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Ex>
        <w:trPr>
          <w:trHeight w:val="284" w:hRule="atLeast"/>
        </w:trPr>
        <w:tc>
          <w:tcPr>
            <w:tcW w:w="4104" w:type="dxa"/>
            <w:vAlign w:val="center"/>
          </w:tcPr>
          <w:p>
            <w:pPr>
              <w:ind w:right="-105" w:rightChars="-50"/>
              <w:rPr>
                <w:rFonts w:ascii="微软雅黑" w:hAnsi="微软雅黑" w:eastAsia="微软雅黑"/>
                <w:szCs w:val="21"/>
              </w:rPr>
            </w:pPr>
            <w:r>
              <w:drawing>
                <wp:inline distT="0" distB="0" distL="0" distR="0">
                  <wp:extent cx="2468880" cy="1652270"/>
                  <wp:effectExtent l="0" t="0" r="762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2"/>
                          <a:stretch>
                            <a:fillRect/>
                          </a:stretch>
                        </pic:blipFill>
                        <pic:spPr>
                          <a:xfrm>
                            <a:off x="0" y="0"/>
                            <a:ext cx="2468880" cy="1652270"/>
                          </a:xfrm>
                          <a:prstGeom prst="rect">
                            <a:avLst/>
                          </a:prstGeom>
                        </pic:spPr>
                      </pic:pic>
                    </a:graphicData>
                  </a:graphic>
                </wp:inline>
              </w:drawing>
            </w:r>
          </w:p>
        </w:tc>
        <w:tc>
          <w:tcPr>
            <w:tcW w:w="4104" w:type="dxa"/>
            <w:vAlign w:val="center"/>
          </w:tcPr>
          <w:p>
            <w:pPr>
              <w:rPr>
                <w:b/>
                <w:bCs/>
              </w:rPr>
            </w:pPr>
            <w:r>
              <w:drawing>
                <wp:inline distT="0" distB="0" distL="0" distR="0">
                  <wp:extent cx="2468880" cy="1652270"/>
                  <wp:effectExtent l="0" t="0" r="7620" b="508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3"/>
                          <a:stretch>
                            <a:fillRect/>
                          </a:stretch>
                        </pic:blipFill>
                        <pic:spPr>
                          <a:xfrm>
                            <a:off x="0" y="0"/>
                            <a:ext cx="2468880" cy="165227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Ex>
        <w:trPr>
          <w:trHeight w:val="284" w:hRule="atLeast"/>
        </w:trPr>
        <w:tc>
          <w:tcPr>
            <w:tcW w:w="4104" w:type="dxa"/>
            <w:vAlign w:val="center"/>
          </w:tcPr>
          <w:p>
            <w:pPr>
              <w:pStyle w:val="3"/>
              <w:wordWrap w:val="0"/>
              <w:jc w:val="right"/>
              <w:rPr>
                <w:rFonts w:ascii="微软雅黑" w:hAnsi="微软雅黑" w:eastAsia="微软雅黑"/>
                <w:sz w:val="18"/>
                <w:szCs w:val="18"/>
              </w:rPr>
            </w:pPr>
            <w:r>
              <w:rPr>
                <w:rFonts w:hint="eastAsia" w:ascii="微软雅黑" w:hAnsi="微软雅黑" w:eastAsia="微软雅黑"/>
                <w:b/>
                <w:sz w:val="15"/>
                <w:szCs w:val="15"/>
              </w:rPr>
              <w:t xml:space="preserve">  </w:t>
            </w:r>
            <w:r>
              <w:rPr>
                <w:rFonts w:ascii="微软雅黑" w:hAnsi="微软雅黑" w:eastAsia="微软雅黑"/>
                <w:b/>
                <w:sz w:val="15"/>
                <w:szCs w:val="15"/>
              </w:rPr>
              <w:t xml:space="preserve">             </w:t>
            </w:r>
          </w:p>
        </w:tc>
        <w:tc>
          <w:tcPr>
            <w:tcW w:w="4104" w:type="dxa"/>
            <w:vAlign w:val="center"/>
          </w:tcPr>
          <w:p>
            <w:pPr>
              <w:pStyle w:val="3"/>
              <w:jc w:val="right"/>
              <w:rPr>
                <w:rFonts w:ascii="微软雅黑" w:hAnsi="微软雅黑" w:eastAsia="微软雅黑"/>
                <w:sz w:val="18"/>
                <w:szCs w:val="18"/>
              </w:rPr>
            </w:pPr>
            <w:r>
              <w:rPr>
                <w:rFonts w:hint="eastAsia" w:ascii="微软雅黑" w:hAnsi="微软雅黑" w:eastAsia="微软雅黑"/>
                <w:b/>
                <w:sz w:val="15"/>
                <w:szCs w:val="15"/>
              </w:rPr>
              <w:t>数据来源：</w:t>
            </w:r>
            <w:r>
              <w:rPr>
                <w:rFonts w:ascii="微软雅黑" w:hAnsi="微软雅黑" w:eastAsia="微软雅黑"/>
                <w:b/>
                <w:sz w:val="15"/>
                <w:szCs w:val="15"/>
              </w:rPr>
              <w:t>iFind</w:t>
            </w:r>
            <w:r>
              <w:rPr>
                <w:rFonts w:hint="eastAsia" w:ascii="微软雅黑" w:hAnsi="微软雅黑" w:eastAsia="微软雅黑"/>
                <w:b/>
                <w:sz w:val="15"/>
                <w:szCs w:val="15"/>
              </w:rPr>
              <w:t>、兴业期货研究咨询部</w:t>
            </w:r>
          </w:p>
        </w:tc>
      </w:tr>
    </w:tbl>
    <w:p>
      <w:pPr>
        <w:adjustRightInd w:val="0"/>
        <w:snapToGrid w:val="0"/>
        <w:spacing w:before="50" w:after="50" w:line="400" w:lineRule="exact"/>
        <w:ind w:firstLine="480" w:firstLineChars="200"/>
        <w:rPr>
          <w:rFonts w:ascii="微软雅黑" w:hAnsi="微软雅黑" w:eastAsia="微软雅黑"/>
          <w:bCs/>
          <w:sz w:val="24"/>
          <w:szCs w:val="24"/>
        </w:rPr>
      </w:pPr>
      <w:r>
        <w:rPr>
          <w:rFonts w:hint="eastAsia" w:ascii="微软雅黑" w:hAnsi="微软雅黑" w:eastAsia="微软雅黑"/>
          <w:bCs/>
          <w:sz w:val="24"/>
          <w:szCs w:val="24"/>
        </w:rPr>
        <w:t>2018年以来中国共进行4次定向降准(300BP)和一次全面降准(100BP)，降准使用频率较高为市场提供流动性。然全球经济前景堪忧，世界各国似乎进入货币宽松周期，那么中国是否会顺应宽松潮流，我们认为中国大概率不会跟随市场进行货币宽松。主要原因：其一中国央行具有货币政策独立性，当前央行货币政策在“稳增长”和“防风险”间保持平衡，因此不会出现大水漫灌的流动性释放；其二， Shibor、DR007及DR007均下滑至低位，印证整体流动性的充裕，继续下调利率的必要性和空间均不大。其三，中国货币总量充足支撑社融数据改善，主要问题是在货币传导，若进一步货币宽松，可能会导致新增债务的无序扩张，从而引发资金空转、脱实向虚。因此央行更多是侧重结构性调整，通过金融供给侧改革疏通宽货币到宽信用的传导。最后，央行表示M2增速和社会融资增速基本上趋于与GDP名义增速相匹配，即认为当前的货币供应符合经济增长的需要，进一步宽松的必要性不大。</w:t>
      </w:r>
    </w:p>
    <w:tbl>
      <w:tblPr>
        <w:tblStyle w:val="7"/>
        <w:tblW w:w="8208" w:type="dxa"/>
        <w:tblInd w:w="109" w:type="dxa"/>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
      <w:tblGrid>
        <w:gridCol w:w="4144"/>
        <w:gridCol w:w="4064"/>
      </w:tblGrid>
      <w:tr>
        <w:tblPrEx>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Ex>
        <w:trPr>
          <w:trHeight w:val="284" w:hRule="atLeast"/>
        </w:trPr>
        <w:tc>
          <w:tcPr>
            <w:tcW w:w="4144" w:type="dxa"/>
            <w:vAlign w:val="center"/>
          </w:tcPr>
          <w:p>
            <w:pPr>
              <w:pStyle w:val="3"/>
              <w:rPr>
                <w:rFonts w:ascii="微软雅黑" w:hAnsi="微软雅黑" w:eastAsia="微软雅黑"/>
                <w:sz w:val="21"/>
                <w:szCs w:val="21"/>
              </w:rPr>
            </w:pPr>
            <w:r>
              <w:rPr>
                <w:rFonts w:hint="eastAsia" w:ascii="微软雅黑" w:hAnsi="微软雅黑" w:eastAsia="微软雅黑"/>
                <w:sz w:val="21"/>
                <w:szCs w:val="21"/>
              </w:rPr>
              <w:t>图11</w:t>
            </w:r>
            <w:r>
              <w:rPr>
                <w:rFonts w:hint="eastAsia" w:ascii="微软雅黑" w:hAnsi="微软雅黑" w:eastAsia="微软雅黑"/>
                <w:sz w:val="24"/>
                <w:szCs w:val="21"/>
              </w:rPr>
              <w:t xml:space="preserve"> </w:t>
            </w:r>
            <w:r>
              <w:rPr>
                <w:rFonts w:hint="eastAsia" w:ascii="微软雅黑" w:hAnsi="微软雅黑" w:eastAsia="微软雅黑"/>
                <w:sz w:val="21"/>
                <w:szCs w:val="21"/>
              </w:rPr>
              <w:t>市场利率变化</w:t>
            </w:r>
          </w:p>
        </w:tc>
        <w:tc>
          <w:tcPr>
            <w:tcW w:w="4064" w:type="dxa"/>
            <w:vAlign w:val="center"/>
          </w:tcPr>
          <w:p>
            <w:pPr>
              <w:pStyle w:val="3"/>
              <w:rPr>
                <w:rFonts w:ascii="微软雅黑" w:hAnsi="微软雅黑" w:eastAsia="微软雅黑"/>
                <w:sz w:val="21"/>
                <w:szCs w:val="21"/>
              </w:rPr>
            </w:pPr>
            <w:r>
              <w:rPr>
                <w:rFonts w:hint="eastAsia" w:ascii="微软雅黑" w:hAnsi="微软雅黑" w:eastAsia="微软雅黑"/>
                <w:sz w:val="21"/>
                <w:szCs w:val="21"/>
              </w:rPr>
              <w:t>图12</w:t>
            </w:r>
            <w:r>
              <w:rPr>
                <w:rFonts w:ascii="微软雅黑" w:hAnsi="微软雅黑" w:eastAsia="微软雅黑"/>
                <w:sz w:val="21"/>
                <w:szCs w:val="21"/>
              </w:rPr>
              <w:t xml:space="preserve"> </w:t>
            </w:r>
            <w:r>
              <w:rPr>
                <w:rFonts w:hint="eastAsia" w:ascii="微软雅黑" w:hAnsi="微软雅黑" w:eastAsia="微软雅黑"/>
                <w:sz w:val="18"/>
                <w:szCs w:val="21"/>
              </w:rPr>
              <w:t>M2和社融增速与GDP名义增速相匹配</w:t>
            </w:r>
          </w:p>
        </w:tc>
      </w:tr>
      <w:tr>
        <w:tblPrEx>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Ex>
        <w:trPr>
          <w:trHeight w:val="284" w:hRule="atLeast"/>
        </w:trPr>
        <w:tc>
          <w:tcPr>
            <w:tcW w:w="4144" w:type="dxa"/>
            <w:vAlign w:val="center"/>
          </w:tcPr>
          <w:p>
            <w:pPr>
              <w:ind w:right="-105" w:rightChars="-50"/>
              <w:rPr>
                <w:rFonts w:ascii="微软雅黑" w:hAnsi="微软雅黑" w:eastAsia="微软雅黑"/>
                <w:szCs w:val="21"/>
              </w:rPr>
            </w:pPr>
            <w:r>
              <w:drawing>
                <wp:inline distT="0" distB="0" distL="0" distR="0">
                  <wp:extent cx="2494280" cy="1638935"/>
                  <wp:effectExtent l="0" t="0" r="127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4"/>
                          <a:stretch>
                            <a:fillRect/>
                          </a:stretch>
                        </pic:blipFill>
                        <pic:spPr>
                          <a:xfrm>
                            <a:off x="0" y="0"/>
                            <a:ext cx="2494280" cy="1638935"/>
                          </a:xfrm>
                          <a:prstGeom prst="rect">
                            <a:avLst/>
                          </a:prstGeom>
                        </pic:spPr>
                      </pic:pic>
                    </a:graphicData>
                  </a:graphic>
                </wp:inline>
              </w:drawing>
            </w:r>
          </w:p>
        </w:tc>
        <w:tc>
          <w:tcPr>
            <w:tcW w:w="4064" w:type="dxa"/>
            <w:vAlign w:val="center"/>
          </w:tcPr>
          <w:p>
            <w:pPr>
              <w:rPr>
                <w:b/>
                <w:bCs/>
              </w:rPr>
            </w:pPr>
            <w:r>
              <w:drawing>
                <wp:inline distT="0" distB="0" distL="0" distR="0">
                  <wp:extent cx="2443480" cy="164655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5"/>
                          <a:stretch>
                            <a:fillRect/>
                          </a:stretch>
                        </pic:blipFill>
                        <pic:spPr>
                          <a:xfrm>
                            <a:off x="0" y="0"/>
                            <a:ext cx="2443480" cy="164655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Ex>
        <w:trPr>
          <w:trHeight w:val="284" w:hRule="atLeast"/>
        </w:trPr>
        <w:tc>
          <w:tcPr>
            <w:tcW w:w="4144" w:type="dxa"/>
            <w:vAlign w:val="center"/>
          </w:tcPr>
          <w:p>
            <w:pPr>
              <w:pStyle w:val="3"/>
              <w:wordWrap w:val="0"/>
              <w:jc w:val="right"/>
              <w:rPr>
                <w:rFonts w:ascii="微软雅黑" w:hAnsi="微软雅黑" w:eastAsia="微软雅黑"/>
                <w:sz w:val="18"/>
                <w:szCs w:val="18"/>
              </w:rPr>
            </w:pPr>
            <w:r>
              <w:rPr>
                <w:rFonts w:hint="eastAsia" w:ascii="微软雅黑" w:hAnsi="微软雅黑" w:eastAsia="微软雅黑"/>
                <w:b/>
                <w:sz w:val="15"/>
                <w:szCs w:val="15"/>
              </w:rPr>
              <w:t xml:space="preserve">  </w:t>
            </w:r>
            <w:r>
              <w:rPr>
                <w:rFonts w:ascii="微软雅黑" w:hAnsi="微软雅黑" w:eastAsia="微软雅黑"/>
                <w:b/>
                <w:sz w:val="15"/>
                <w:szCs w:val="15"/>
              </w:rPr>
              <w:t xml:space="preserve">             </w:t>
            </w:r>
          </w:p>
        </w:tc>
        <w:tc>
          <w:tcPr>
            <w:tcW w:w="4064" w:type="dxa"/>
            <w:vAlign w:val="center"/>
          </w:tcPr>
          <w:p>
            <w:pPr>
              <w:pStyle w:val="3"/>
              <w:jc w:val="right"/>
              <w:rPr>
                <w:rFonts w:ascii="微软雅黑" w:hAnsi="微软雅黑" w:eastAsia="微软雅黑"/>
                <w:sz w:val="18"/>
                <w:szCs w:val="18"/>
              </w:rPr>
            </w:pPr>
            <w:r>
              <w:rPr>
                <w:rFonts w:hint="eastAsia" w:ascii="微软雅黑" w:hAnsi="微软雅黑" w:eastAsia="微软雅黑"/>
                <w:b/>
                <w:sz w:val="15"/>
                <w:szCs w:val="15"/>
              </w:rPr>
              <w:t>数据来源：iFind、兴业期货研究咨询部</w:t>
            </w:r>
          </w:p>
        </w:tc>
      </w:tr>
    </w:tbl>
    <w:p>
      <w:pPr>
        <w:adjustRightInd w:val="0"/>
        <w:snapToGrid w:val="0"/>
        <w:spacing w:before="50" w:after="50" w:line="400" w:lineRule="exact"/>
        <w:ind w:firstLine="480" w:firstLineChars="200"/>
        <w:rPr>
          <w:rFonts w:ascii="微软雅黑" w:hAnsi="微软雅黑" w:eastAsia="微软雅黑"/>
          <w:bCs/>
          <w:sz w:val="24"/>
          <w:szCs w:val="24"/>
        </w:rPr>
      </w:pPr>
    </w:p>
    <w:p>
      <w:pPr>
        <w:adjustRightInd w:val="0"/>
        <w:snapToGrid w:val="0"/>
        <w:spacing w:before="50" w:after="50" w:line="400" w:lineRule="exact"/>
        <w:ind w:firstLine="480" w:firstLineChars="200"/>
        <w:rPr>
          <w:rFonts w:ascii="微软雅黑" w:hAnsi="微软雅黑" w:eastAsia="微软雅黑"/>
          <w:bCs/>
          <w:sz w:val="24"/>
          <w:szCs w:val="24"/>
        </w:rPr>
      </w:pPr>
      <w:r>
        <w:rPr>
          <w:rFonts w:hint="eastAsia" w:ascii="微软雅黑" w:hAnsi="微软雅黑" w:eastAsia="微软雅黑"/>
          <w:bCs/>
          <w:sz w:val="24"/>
          <w:szCs w:val="24"/>
        </w:rPr>
        <w:t xml:space="preserve">2019年上半年国家财政政策较为积极，陆续出台的减税降费政策为企业腾挪资金空间，1-5月累计新增减税降费已达8930亿元。然房地产市场景气度回落，税收收入下滑及土地出让收入下滑导致财政收入收缩从而限制上半年财政支出规模。叠加地方隐性债务规范的限制以及专项债主要用于以旧换新，从而限制基建发力力度。 </w:t>
      </w:r>
    </w:p>
    <w:p>
      <w:pPr>
        <w:adjustRightInd w:val="0"/>
        <w:snapToGrid w:val="0"/>
        <w:spacing w:before="50" w:after="50" w:line="400" w:lineRule="exact"/>
        <w:ind w:firstLine="480" w:firstLineChars="200"/>
        <w:rPr>
          <w:rFonts w:ascii="微软雅黑" w:hAnsi="微软雅黑" w:eastAsia="微软雅黑"/>
          <w:bCs/>
          <w:sz w:val="24"/>
          <w:szCs w:val="24"/>
        </w:rPr>
      </w:pPr>
      <w:r>
        <w:rPr>
          <w:rFonts w:hint="eastAsia" w:ascii="微软雅黑" w:hAnsi="微软雅黑" w:eastAsia="微软雅黑"/>
          <w:bCs/>
          <w:sz w:val="24"/>
          <w:szCs w:val="24"/>
        </w:rPr>
        <w:t>下半年在房地产严调控不变及棚改货币化边际提振减弱下，房地产下行压力增加，基建依然是财政政策的重要发力点。在居民与企业被动去杠杆的背景下，政府将成为加杠杆主力以提振市场需求动力，基建有望继续发力以托底经济。</w:t>
      </w:r>
    </w:p>
    <w:tbl>
      <w:tblPr>
        <w:tblStyle w:val="7"/>
        <w:tblW w:w="8208" w:type="dxa"/>
        <w:tblInd w:w="109" w:type="dxa"/>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
      <w:tblGrid>
        <w:gridCol w:w="4144"/>
        <w:gridCol w:w="4064"/>
      </w:tblGrid>
      <w:tr>
        <w:tblPrEx>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Ex>
        <w:trPr>
          <w:trHeight w:val="284" w:hRule="atLeast"/>
        </w:trPr>
        <w:tc>
          <w:tcPr>
            <w:tcW w:w="4144" w:type="dxa"/>
            <w:vAlign w:val="center"/>
          </w:tcPr>
          <w:p>
            <w:pPr>
              <w:pStyle w:val="3"/>
              <w:rPr>
                <w:rFonts w:ascii="微软雅黑" w:hAnsi="微软雅黑" w:eastAsia="微软雅黑"/>
                <w:sz w:val="21"/>
                <w:szCs w:val="21"/>
              </w:rPr>
            </w:pPr>
            <w:r>
              <w:rPr>
                <w:rFonts w:hint="eastAsia" w:ascii="微软雅黑" w:hAnsi="微软雅黑" w:eastAsia="微软雅黑"/>
                <w:sz w:val="21"/>
                <w:szCs w:val="21"/>
              </w:rPr>
              <w:t>图13财政收入收缩限制财政支出规模</w:t>
            </w:r>
          </w:p>
          <w:p>
            <w:pPr>
              <w:pStyle w:val="3"/>
              <w:rPr>
                <w:rFonts w:ascii="微软雅黑" w:hAnsi="微软雅黑" w:eastAsia="微软雅黑"/>
                <w:sz w:val="21"/>
                <w:szCs w:val="21"/>
              </w:rPr>
            </w:pPr>
          </w:p>
        </w:tc>
        <w:tc>
          <w:tcPr>
            <w:tcW w:w="4064" w:type="dxa"/>
            <w:vAlign w:val="center"/>
          </w:tcPr>
          <w:p>
            <w:pPr>
              <w:pStyle w:val="3"/>
              <w:rPr>
                <w:rFonts w:ascii="微软雅黑" w:hAnsi="微软雅黑" w:eastAsia="微软雅黑"/>
                <w:sz w:val="21"/>
                <w:szCs w:val="21"/>
              </w:rPr>
            </w:pPr>
            <w:r>
              <w:rPr>
                <w:rFonts w:hint="eastAsia" w:ascii="微软雅黑" w:hAnsi="微软雅黑" w:eastAsia="微软雅黑"/>
                <w:sz w:val="21"/>
                <w:szCs w:val="21"/>
              </w:rPr>
              <w:t>图14</w:t>
            </w:r>
            <w:r>
              <w:rPr>
                <w:rFonts w:ascii="微软雅黑" w:hAnsi="微软雅黑" w:eastAsia="微软雅黑"/>
                <w:sz w:val="21"/>
                <w:szCs w:val="21"/>
              </w:rPr>
              <w:t xml:space="preserve"> </w:t>
            </w:r>
            <w:r>
              <w:rPr>
                <w:rFonts w:hint="eastAsia" w:ascii="微软雅黑" w:hAnsi="微软雅黑" w:eastAsia="微软雅黑"/>
                <w:sz w:val="21"/>
                <w:szCs w:val="21"/>
              </w:rPr>
              <w:t>基建成为托底经济的主力</w:t>
            </w:r>
          </w:p>
        </w:tc>
      </w:tr>
      <w:tr>
        <w:tblPrEx>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Ex>
        <w:trPr>
          <w:trHeight w:val="284" w:hRule="atLeast"/>
        </w:trPr>
        <w:tc>
          <w:tcPr>
            <w:tcW w:w="4144" w:type="dxa"/>
            <w:vAlign w:val="center"/>
          </w:tcPr>
          <w:p>
            <w:pPr>
              <w:ind w:right="-105" w:rightChars="-50"/>
              <w:rPr>
                <w:rFonts w:ascii="微软雅黑" w:hAnsi="微软雅黑" w:eastAsia="微软雅黑"/>
                <w:szCs w:val="21"/>
              </w:rPr>
            </w:pPr>
            <w:r>
              <w:drawing>
                <wp:inline distT="0" distB="0" distL="0" distR="0">
                  <wp:extent cx="2494280" cy="1664335"/>
                  <wp:effectExtent l="0" t="0" r="127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6"/>
                          <a:stretch>
                            <a:fillRect/>
                          </a:stretch>
                        </pic:blipFill>
                        <pic:spPr>
                          <a:xfrm>
                            <a:off x="0" y="0"/>
                            <a:ext cx="2494280" cy="1664335"/>
                          </a:xfrm>
                          <a:prstGeom prst="rect">
                            <a:avLst/>
                          </a:prstGeom>
                        </pic:spPr>
                      </pic:pic>
                    </a:graphicData>
                  </a:graphic>
                </wp:inline>
              </w:drawing>
            </w:r>
          </w:p>
        </w:tc>
        <w:tc>
          <w:tcPr>
            <w:tcW w:w="4064" w:type="dxa"/>
            <w:vAlign w:val="center"/>
          </w:tcPr>
          <w:p>
            <w:pPr>
              <w:rPr>
                <w:b/>
                <w:bCs/>
              </w:rPr>
            </w:pPr>
            <w:r>
              <w:drawing>
                <wp:inline distT="0" distB="0" distL="0" distR="0">
                  <wp:extent cx="2466975" cy="1647825"/>
                  <wp:effectExtent l="0" t="0" r="952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466975" cy="164782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Ex>
        <w:trPr>
          <w:trHeight w:val="284" w:hRule="atLeast"/>
        </w:trPr>
        <w:tc>
          <w:tcPr>
            <w:tcW w:w="4144" w:type="dxa"/>
            <w:vAlign w:val="center"/>
          </w:tcPr>
          <w:p>
            <w:pPr>
              <w:pStyle w:val="3"/>
              <w:wordWrap w:val="0"/>
              <w:jc w:val="right"/>
              <w:rPr>
                <w:rFonts w:ascii="微软雅黑" w:hAnsi="微软雅黑" w:eastAsia="微软雅黑"/>
                <w:sz w:val="18"/>
                <w:szCs w:val="18"/>
              </w:rPr>
            </w:pPr>
            <w:r>
              <w:rPr>
                <w:rFonts w:hint="eastAsia" w:ascii="微软雅黑" w:hAnsi="微软雅黑" w:eastAsia="微软雅黑"/>
                <w:b/>
                <w:sz w:val="15"/>
                <w:szCs w:val="15"/>
              </w:rPr>
              <w:t xml:space="preserve">  </w:t>
            </w:r>
            <w:r>
              <w:rPr>
                <w:rFonts w:ascii="微软雅黑" w:hAnsi="微软雅黑" w:eastAsia="微软雅黑"/>
                <w:b/>
                <w:sz w:val="15"/>
                <w:szCs w:val="15"/>
              </w:rPr>
              <w:t xml:space="preserve">             </w:t>
            </w:r>
          </w:p>
        </w:tc>
        <w:tc>
          <w:tcPr>
            <w:tcW w:w="4064" w:type="dxa"/>
            <w:vAlign w:val="center"/>
          </w:tcPr>
          <w:p>
            <w:pPr>
              <w:pStyle w:val="3"/>
              <w:jc w:val="right"/>
              <w:rPr>
                <w:rFonts w:ascii="微软雅黑" w:hAnsi="微软雅黑" w:eastAsia="微软雅黑"/>
                <w:sz w:val="18"/>
                <w:szCs w:val="18"/>
              </w:rPr>
            </w:pPr>
            <w:r>
              <w:rPr>
                <w:rFonts w:hint="eastAsia" w:ascii="微软雅黑" w:hAnsi="微软雅黑" w:eastAsia="微软雅黑"/>
                <w:b/>
                <w:sz w:val="15"/>
                <w:szCs w:val="15"/>
              </w:rPr>
              <w:t>数据来源：iFind、兴业期货研究咨询部</w:t>
            </w:r>
          </w:p>
        </w:tc>
      </w:tr>
    </w:tbl>
    <w:p>
      <w:pPr>
        <w:pStyle w:val="2"/>
        <w:spacing w:before="31" w:beforeLines="10" w:after="0"/>
        <w:rPr>
          <w:rFonts w:ascii="微软雅黑" w:hAnsi="微软雅黑" w:eastAsia="微软雅黑"/>
          <w:sz w:val="24"/>
          <w:szCs w:val="24"/>
        </w:rPr>
      </w:pPr>
      <w:r>
        <w:rPr>
          <w:rFonts w:hint="eastAsia" w:ascii="微软雅黑" w:hAnsi="微软雅黑" w:eastAsia="微软雅黑"/>
          <w:sz w:val="24"/>
          <w:szCs w:val="24"/>
        </w:rPr>
        <w:t>B 需求端难有亮眼表现</w:t>
      </w:r>
    </w:p>
    <w:p>
      <w:pPr>
        <w:autoSpaceDE w:val="0"/>
        <w:autoSpaceDN w:val="0"/>
        <w:adjustRightInd w:val="0"/>
        <w:spacing w:line="400" w:lineRule="exact"/>
        <w:ind w:firstLine="480" w:firstLineChars="200"/>
        <w:jc w:val="left"/>
        <w:rPr>
          <w:rFonts w:ascii="微软雅黑" w:hAnsi="微软雅黑" w:eastAsia="微软雅黑"/>
          <w:bCs/>
          <w:sz w:val="24"/>
          <w:szCs w:val="24"/>
        </w:rPr>
      </w:pPr>
      <w:r>
        <w:rPr>
          <w:rFonts w:hint="eastAsia" w:ascii="微软雅黑" w:hAnsi="微软雅黑" w:eastAsia="微软雅黑"/>
          <w:bCs/>
          <w:sz w:val="24"/>
          <w:szCs w:val="24"/>
        </w:rPr>
        <w:t>基建传导机制分别从资金及订单两个路径：（1）政策→资金→信用→基建；（2）政策→订单→基建。2018年在中美贸易摩擦反复、全球经济增速放缓的大背景下，中国经济亦出现走弱，基建成为托底经济的主力。本轮政策拐点出现在2018年10月，资金拐点与信用拐点同步均滞后政策拐点2个月，在2018年12月出现。因本轮政策向基建投资传导的背景与2011年类似，预计基建投资增速可能将于2019年3季度出现明显提升。根据测算2019年基建增速约7.85%，其对经济的拉动作用较为有限。</w:t>
      </w:r>
    </w:p>
    <w:tbl>
      <w:tblPr>
        <w:tblStyle w:val="7"/>
        <w:tblW w:w="8208" w:type="dxa"/>
        <w:tblInd w:w="109" w:type="dxa"/>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
      <w:tblGrid>
        <w:gridCol w:w="4104"/>
        <w:gridCol w:w="4104"/>
      </w:tblGrid>
      <w:tr>
        <w:tblPrEx>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Ex>
        <w:trPr>
          <w:trHeight w:val="284" w:hRule="atLeast"/>
        </w:trPr>
        <w:tc>
          <w:tcPr>
            <w:tcW w:w="4104" w:type="dxa"/>
            <w:vAlign w:val="center"/>
          </w:tcPr>
          <w:p>
            <w:pPr>
              <w:pStyle w:val="3"/>
              <w:rPr>
                <w:rFonts w:ascii="微软雅黑" w:hAnsi="微软雅黑" w:eastAsia="微软雅黑"/>
                <w:color w:val="244061"/>
                <w:sz w:val="21"/>
                <w:szCs w:val="21"/>
              </w:rPr>
            </w:pPr>
            <w:r>
              <w:rPr>
                <w:rFonts w:hint="eastAsia" w:ascii="微软雅黑" w:hAnsi="微软雅黑" w:eastAsia="微软雅黑"/>
                <w:color w:val="244061"/>
                <w:sz w:val="21"/>
                <w:szCs w:val="21"/>
              </w:rPr>
              <w:t>图1</w:t>
            </w:r>
            <w:r>
              <w:rPr>
                <w:rFonts w:ascii="微软雅黑" w:hAnsi="微软雅黑" w:eastAsia="微软雅黑"/>
                <w:color w:val="244061"/>
                <w:sz w:val="21"/>
                <w:szCs w:val="21"/>
              </w:rPr>
              <w:t>5</w:t>
            </w:r>
            <w:r>
              <w:rPr>
                <w:rFonts w:hint="eastAsia" w:ascii="微软雅黑" w:hAnsi="微软雅黑" w:eastAsia="微软雅黑"/>
                <w:color w:val="244061"/>
                <w:sz w:val="21"/>
                <w:szCs w:val="21"/>
              </w:rPr>
              <w:t xml:space="preserve"> </w:t>
            </w:r>
            <w:r>
              <w:rPr>
                <w:rFonts w:ascii="微软雅黑" w:hAnsi="微软雅黑" w:eastAsia="微软雅黑"/>
                <w:color w:val="244061"/>
                <w:sz w:val="21"/>
                <w:szCs w:val="21"/>
              </w:rPr>
              <w:t>2019</w:t>
            </w:r>
            <w:r>
              <w:rPr>
                <w:rFonts w:hint="eastAsia" w:ascii="微软雅黑" w:hAnsi="微软雅黑" w:eastAsia="微软雅黑"/>
                <w:color w:val="244061"/>
                <w:sz w:val="21"/>
                <w:szCs w:val="21"/>
              </w:rPr>
              <w:t>年</w:t>
            </w:r>
            <w:r>
              <w:rPr>
                <w:rFonts w:ascii="微软雅黑" w:hAnsi="微软雅黑" w:eastAsia="微软雅黑"/>
                <w:color w:val="244061"/>
                <w:sz w:val="21"/>
                <w:szCs w:val="21"/>
              </w:rPr>
              <w:t>基建增速约</w:t>
            </w:r>
            <w:r>
              <w:rPr>
                <w:rFonts w:hint="eastAsia" w:ascii="微软雅黑" w:hAnsi="微软雅黑" w:eastAsia="微软雅黑"/>
                <w:color w:val="244061"/>
                <w:sz w:val="21"/>
                <w:szCs w:val="21"/>
              </w:rPr>
              <w:t>7.85</w:t>
            </w:r>
            <w:r>
              <w:rPr>
                <w:rFonts w:ascii="微软雅黑" w:hAnsi="微软雅黑" w:eastAsia="微软雅黑"/>
                <w:color w:val="244061"/>
                <w:sz w:val="21"/>
                <w:szCs w:val="21"/>
              </w:rPr>
              <w:t>%</w:t>
            </w:r>
          </w:p>
        </w:tc>
        <w:tc>
          <w:tcPr>
            <w:tcW w:w="4104" w:type="dxa"/>
            <w:vAlign w:val="center"/>
          </w:tcPr>
          <w:p>
            <w:pPr>
              <w:pStyle w:val="3"/>
              <w:rPr>
                <w:rFonts w:ascii="微软雅黑" w:hAnsi="微软雅黑" w:eastAsia="微软雅黑"/>
                <w:color w:val="244061"/>
                <w:sz w:val="21"/>
                <w:szCs w:val="21"/>
              </w:rPr>
            </w:pPr>
          </w:p>
        </w:tc>
      </w:tr>
      <w:tr>
        <w:tblPrEx>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Ex>
        <w:trPr>
          <w:trHeight w:val="2994" w:hRule="atLeast"/>
        </w:trPr>
        <w:tc>
          <w:tcPr>
            <w:tcW w:w="8208" w:type="dxa"/>
            <w:gridSpan w:val="2"/>
            <w:vAlign w:val="center"/>
          </w:tcPr>
          <w:p>
            <w:pPr>
              <w:rPr>
                <w:b/>
                <w:bCs/>
                <w:color w:val="244061"/>
              </w:rPr>
            </w:pPr>
            <w:r>
              <w:drawing>
                <wp:inline distT="0" distB="0" distL="0" distR="0">
                  <wp:extent cx="5029200" cy="228600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029200" cy="2286000"/>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Ex>
        <w:trPr>
          <w:trHeight w:val="78" w:hRule="atLeast"/>
        </w:trPr>
        <w:tc>
          <w:tcPr>
            <w:tcW w:w="8208" w:type="dxa"/>
            <w:gridSpan w:val="2"/>
            <w:vAlign w:val="center"/>
          </w:tcPr>
          <w:p>
            <w:pPr>
              <w:ind w:right="60"/>
              <w:jc w:val="right"/>
              <w:rPr>
                <w:rFonts w:ascii="微软雅黑" w:hAnsi="微软雅黑" w:eastAsia="微软雅黑"/>
                <w:b/>
                <w:color w:val="244061"/>
                <w:sz w:val="15"/>
                <w:szCs w:val="15"/>
              </w:rPr>
            </w:pPr>
            <w:r>
              <w:rPr>
                <w:rFonts w:hint="eastAsia" w:ascii="微软雅黑" w:hAnsi="微软雅黑" w:eastAsia="微软雅黑"/>
                <w:b/>
                <w:color w:val="244061"/>
                <w:sz w:val="15"/>
                <w:szCs w:val="15"/>
              </w:rPr>
              <w:t>数据来源：iFind、兴业期货研究咨询部</w:t>
            </w:r>
          </w:p>
        </w:tc>
      </w:tr>
    </w:tbl>
    <w:p>
      <w:pPr>
        <w:autoSpaceDE w:val="0"/>
        <w:autoSpaceDN w:val="0"/>
        <w:adjustRightInd w:val="0"/>
        <w:spacing w:line="400" w:lineRule="exact"/>
        <w:jc w:val="left"/>
        <w:rPr>
          <w:rFonts w:ascii="微软雅黑" w:hAnsi="微软雅黑" w:eastAsia="微软雅黑"/>
          <w:bCs/>
          <w:sz w:val="24"/>
          <w:szCs w:val="24"/>
        </w:rPr>
      </w:pPr>
    </w:p>
    <w:p>
      <w:pPr>
        <w:autoSpaceDE w:val="0"/>
        <w:autoSpaceDN w:val="0"/>
        <w:adjustRightInd w:val="0"/>
        <w:spacing w:line="400" w:lineRule="exact"/>
        <w:ind w:firstLine="480" w:firstLineChars="200"/>
        <w:jc w:val="left"/>
        <w:rPr>
          <w:rFonts w:ascii="微软雅黑" w:hAnsi="微软雅黑" w:eastAsia="微软雅黑"/>
          <w:bCs/>
          <w:sz w:val="24"/>
          <w:szCs w:val="24"/>
        </w:rPr>
      </w:pPr>
      <w:r>
        <w:rPr>
          <w:rFonts w:hint="eastAsia" w:ascii="微软雅黑" w:hAnsi="微软雅黑" w:eastAsia="微软雅黑"/>
          <w:bCs/>
          <w:sz w:val="24"/>
          <w:szCs w:val="24"/>
        </w:rPr>
        <w:t>房地产中用铝以建筑型铝材为主，并将其加工成铝门窗、幕墙。主要用于房地产施工、尤其是竣工阶段。上半年因资金环境收紧，房地产企业不得不通过抢开工实现期房销售以缓解现金流紧张，新开工面积维持高增带动了施工面积增速持续走高，然而受土地成交回暖对施工部分的资金形成挤占，竣工面积维持低迷。根据卓创统计，2018年以来房地产用铝量维持负增长。下半年，新开工增速在高基数下将呈回落态势，但在维稳环境下仍将维持在高位，对施工面积增速存在支撑。预计竣工面积在下半年开始缓慢回暖，房地产用铝量可能较上半年有所改善，但幅度相对有限。</w:t>
      </w:r>
    </w:p>
    <w:tbl>
      <w:tblPr>
        <w:tblStyle w:val="7"/>
        <w:tblW w:w="8208" w:type="dxa"/>
        <w:tblInd w:w="109" w:type="dxa"/>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
      <w:tblGrid>
        <w:gridCol w:w="4144"/>
        <w:gridCol w:w="4064"/>
      </w:tblGrid>
      <w:tr>
        <w:tblPrEx>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Ex>
        <w:trPr>
          <w:trHeight w:val="284" w:hRule="atLeast"/>
        </w:trPr>
        <w:tc>
          <w:tcPr>
            <w:tcW w:w="4144" w:type="dxa"/>
            <w:vAlign w:val="center"/>
          </w:tcPr>
          <w:p>
            <w:pPr>
              <w:pStyle w:val="3"/>
              <w:rPr>
                <w:rFonts w:ascii="微软雅黑" w:hAnsi="微软雅黑" w:eastAsia="微软雅黑"/>
                <w:sz w:val="21"/>
                <w:szCs w:val="21"/>
              </w:rPr>
            </w:pPr>
            <w:r>
              <w:rPr>
                <w:rFonts w:hint="eastAsia" w:ascii="微软雅黑" w:hAnsi="微软雅黑" w:eastAsia="微软雅黑"/>
                <w:sz w:val="21"/>
                <w:szCs w:val="21"/>
              </w:rPr>
              <w:t>图16下半年房地产竣工面积或回暖</w:t>
            </w:r>
          </w:p>
        </w:tc>
        <w:tc>
          <w:tcPr>
            <w:tcW w:w="4064" w:type="dxa"/>
            <w:vAlign w:val="center"/>
          </w:tcPr>
          <w:p>
            <w:pPr>
              <w:pStyle w:val="3"/>
              <w:rPr>
                <w:rFonts w:ascii="微软雅黑" w:hAnsi="微软雅黑" w:eastAsia="微软雅黑"/>
                <w:sz w:val="21"/>
                <w:szCs w:val="21"/>
              </w:rPr>
            </w:pPr>
            <w:r>
              <w:rPr>
                <w:rFonts w:hint="eastAsia" w:ascii="微软雅黑" w:hAnsi="微软雅黑" w:eastAsia="微软雅黑"/>
                <w:sz w:val="21"/>
                <w:szCs w:val="21"/>
              </w:rPr>
              <w:t>图17</w:t>
            </w:r>
            <w:r>
              <w:rPr>
                <w:rFonts w:ascii="微软雅黑" w:hAnsi="微软雅黑" w:eastAsia="微软雅黑"/>
                <w:sz w:val="21"/>
                <w:szCs w:val="21"/>
              </w:rPr>
              <w:t xml:space="preserve"> </w:t>
            </w:r>
            <w:r>
              <w:rPr>
                <w:rFonts w:hint="eastAsia" w:ascii="微软雅黑" w:hAnsi="微软雅黑" w:eastAsia="微软雅黑"/>
                <w:sz w:val="21"/>
                <w:szCs w:val="21"/>
              </w:rPr>
              <w:t>房地产用铝量有望缓慢复苏</w:t>
            </w:r>
          </w:p>
        </w:tc>
      </w:tr>
      <w:tr>
        <w:tblPrEx>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Ex>
        <w:trPr>
          <w:trHeight w:val="284" w:hRule="atLeast"/>
        </w:trPr>
        <w:tc>
          <w:tcPr>
            <w:tcW w:w="4144" w:type="dxa"/>
            <w:vAlign w:val="center"/>
          </w:tcPr>
          <w:p>
            <w:pPr>
              <w:ind w:right="-105" w:rightChars="-50"/>
              <w:rPr>
                <w:rFonts w:ascii="微软雅黑" w:hAnsi="微软雅黑" w:eastAsia="微软雅黑"/>
                <w:szCs w:val="21"/>
              </w:rPr>
            </w:pPr>
            <w:r>
              <w:drawing>
                <wp:inline distT="0" distB="0" distL="0" distR="0">
                  <wp:extent cx="2494280" cy="1684020"/>
                  <wp:effectExtent l="0" t="0" r="127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9"/>
                          <a:stretch>
                            <a:fillRect/>
                          </a:stretch>
                        </pic:blipFill>
                        <pic:spPr>
                          <a:xfrm>
                            <a:off x="0" y="0"/>
                            <a:ext cx="2494280" cy="1684020"/>
                          </a:xfrm>
                          <a:prstGeom prst="rect">
                            <a:avLst/>
                          </a:prstGeom>
                        </pic:spPr>
                      </pic:pic>
                    </a:graphicData>
                  </a:graphic>
                </wp:inline>
              </w:drawing>
            </w:r>
          </w:p>
        </w:tc>
        <w:tc>
          <w:tcPr>
            <w:tcW w:w="4064" w:type="dxa"/>
            <w:vAlign w:val="center"/>
          </w:tcPr>
          <w:p>
            <w:pPr>
              <w:rPr>
                <w:b/>
                <w:bCs/>
              </w:rPr>
            </w:pPr>
            <w:r>
              <w:drawing>
                <wp:inline distT="0" distB="0" distL="0" distR="0">
                  <wp:extent cx="2443480" cy="162750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0"/>
                          <a:stretch>
                            <a:fillRect/>
                          </a:stretch>
                        </pic:blipFill>
                        <pic:spPr>
                          <a:xfrm>
                            <a:off x="0" y="0"/>
                            <a:ext cx="2443480" cy="162750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Ex>
        <w:trPr>
          <w:trHeight w:val="284" w:hRule="atLeast"/>
        </w:trPr>
        <w:tc>
          <w:tcPr>
            <w:tcW w:w="4144" w:type="dxa"/>
            <w:vAlign w:val="center"/>
          </w:tcPr>
          <w:p>
            <w:pPr>
              <w:pStyle w:val="3"/>
              <w:wordWrap w:val="0"/>
              <w:jc w:val="right"/>
              <w:rPr>
                <w:rFonts w:ascii="微软雅黑" w:hAnsi="微软雅黑" w:eastAsia="微软雅黑"/>
                <w:sz w:val="18"/>
                <w:szCs w:val="18"/>
              </w:rPr>
            </w:pPr>
            <w:r>
              <w:rPr>
                <w:rFonts w:hint="eastAsia" w:ascii="微软雅黑" w:hAnsi="微软雅黑" w:eastAsia="微软雅黑"/>
                <w:b/>
                <w:sz w:val="15"/>
                <w:szCs w:val="15"/>
              </w:rPr>
              <w:t xml:space="preserve">  </w:t>
            </w:r>
            <w:r>
              <w:rPr>
                <w:rFonts w:ascii="微软雅黑" w:hAnsi="微软雅黑" w:eastAsia="微软雅黑"/>
                <w:b/>
                <w:sz w:val="15"/>
                <w:szCs w:val="15"/>
              </w:rPr>
              <w:t xml:space="preserve">             </w:t>
            </w:r>
          </w:p>
        </w:tc>
        <w:tc>
          <w:tcPr>
            <w:tcW w:w="4064" w:type="dxa"/>
            <w:vAlign w:val="center"/>
          </w:tcPr>
          <w:p>
            <w:pPr>
              <w:pStyle w:val="3"/>
              <w:jc w:val="right"/>
              <w:rPr>
                <w:rFonts w:ascii="微软雅黑" w:hAnsi="微软雅黑" w:eastAsia="微软雅黑"/>
                <w:sz w:val="18"/>
                <w:szCs w:val="18"/>
              </w:rPr>
            </w:pPr>
            <w:r>
              <w:rPr>
                <w:rFonts w:hint="eastAsia" w:ascii="微软雅黑" w:hAnsi="微软雅黑" w:eastAsia="微软雅黑"/>
                <w:b/>
                <w:sz w:val="15"/>
                <w:szCs w:val="15"/>
              </w:rPr>
              <w:t>数据来源：iFind、兴业期货研究咨询部</w:t>
            </w:r>
          </w:p>
        </w:tc>
      </w:tr>
    </w:tbl>
    <w:p>
      <w:pPr>
        <w:autoSpaceDE w:val="0"/>
        <w:autoSpaceDN w:val="0"/>
        <w:adjustRightInd w:val="0"/>
        <w:spacing w:line="400" w:lineRule="exact"/>
        <w:ind w:firstLine="480" w:firstLineChars="200"/>
        <w:jc w:val="left"/>
        <w:rPr>
          <w:rFonts w:ascii="微软雅黑" w:hAnsi="微软雅黑" w:eastAsia="微软雅黑"/>
          <w:bCs/>
          <w:sz w:val="24"/>
          <w:szCs w:val="24"/>
        </w:rPr>
      </w:pPr>
    </w:p>
    <w:p>
      <w:pPr>
        <w:autoSpaceDE w:val="0"/>
        <w:autoSpaceDN w:val="0"/>
        <w:adjustRightInd w:val="0"/>
        <w:spacing w:line="400" w:lineRule="exact"/>
        <w:ind w:firstLine="480" w:firstLineChars="200"/>
        <w:jc w:val="left"/>
        <w:rPr>
          <w:rFonts w:ascii="微软雅黑" w:hAnsi="微软雅黑" w:eastAsia="微软雅黑"/>
          <w:bCs/>
          <w:sz w:val="24"/>
          <w:szCs w:val="24"/>
        </w:rPr>
      </w:pPr>
      <w:r>
        <w:rPr>
          <w:rFonts w:hint="eastAsia" w:ascii="微软雅黑" w:hAnsi="微软雅黑" w:eastAsia="微软雅黑"/>
          <w:bCs/>
          <w:sz w:val="24"/>
          <w:szCs w:val="24"/>
        </w:rPr>
        <w:t>在2019年之前，中国家电下乡</w:t>
      </w:r>
      <w:r>
        <w:rPr>
          <w:rFonts w:hint="eastAsia" w:ascii="微软雅黑" w:hAnsi="微软雅黑" w:eastAsia="微软雅黑"/>
          <w:bCs/>
          <w:sz w:val="24"/>
          <w:szCs w:val="24"/>
          <w:vertAlign w:val="superscript"/>
        </w:rPr>
        <w:t>①</w:t>
      </w:r>
      <w:r>
        <w:rPr>
          <w:rFonts w:hint="eastAsia" w:ascii="微软雅黑" w:hAnsi="微软雅黑" w:eastAsia="微软雅黑"/>
          <w:bCs/>
          <w:sz w:val="24"/>
          <w:szCs w:val="24"/>
        </w:rPr>
        <w:t>，以旧换新</w:t>
      </w:r>
      <w:r>
        <w:rPr>
          <w:rFonts w:hint="eastAsia" w:ascii="微软雅黑" w:hAnsi="微软雅黑" w:eastAsia="微软雅黑"/>
          <w:bCs/>
          <w:sz w:val="24"/>
          <w:szCs w:val="24"/>
          <w:vertAlign w:val="superscript"/>
        </w:rPr>
        <w:t>②</w:t>
      </w:r>
      <w:r>
        <w:rPr>
          <w:rFonts w:hint="eastAsia" w:ascii="微软雅黑" w:hAnsi="微软雅黑" w:eastAsia="微软雅黑"/>
          <w:bCs/>
          <w:sz w:val="24"/>
          <w:szCs w:val="24"/>
        </w:rPr>
        <w:t>、节能补贴</w:t>
      </w:r>
      <w:r>
        <w:rPr>
          <w:rFonts w:hint="eastAsia" w:ascii="微软雅黑" w:hAnsi="微软雅黑" w:eastAsia="微软雅黑"/>
          <w:bCs/>
          <w:sz w:val="24"/>
          <w:szCs w:val="24"/>
          <w:vertAlign w:val="superscript"/>
        </w:rPr>
        <w:t>③</w:t>
      </w:r>
      <w:r>
        <w:rPr>
          <w:rFonts w:hint="eastAsia" w:ascii="微软雅黑" w:hAnsi="微软雅黑" w:eastAsia="微软雅黑"/>
          <w:bCs/>
          <w:sz w:val="24"/>
          <w:szCs w:val="24"/>
        </w:rPr>
        <w:t>三大补贴政策贯穿2007年-2013年。家电下乡主要是刺激农村潜在需求，以旧换新、节能补贴侧重于城镇的更新升级需求，可以看到政策执行初期效果明显。 展望2019年下半年，一方面保有量的增加，使得政策实施空间收窄，更多的是以更新升级为主。另外在“稳房价、稳地价、稳预期”调控政策下，年内房地产投资增速仍将持稳。我们预计家电内需在政策刺激下出现弱复苏但效果远不及2012年。自去年中美贸易关系趋于紧张，家电纷纷抢出口，另外受益于人民币汇率贬值以及海外市场的拓展，家电出口增速上半年较为可观。G20峰会后，中美表示继续进行贸易谈判， 中美贸易关系初步缓和有望利好家电出口。</w:t>
      </w:r>
    </w:p>
    <w:tbl>
      <w:tblPr>
        <w:tblStyle w:val="7"/>
        <w:tblW w:w="8208" w:type="dxa"/>
        <w:tblInd w:w="109" w:type="dxa"/>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
      <w:tblGrid>
        <w:gridCol w:w="4144"/>
        <w:gridCol w:w="4064"/>
      </w:tblGrid>
      <w:tr>
        <w:tblPrEx>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Ex>
        <w:trPr>
          <w:trHeight w:val="284" w:hRule="atLeast"/>
        </w:trPr>
        <w:tc>
          <w:tcPr>
            <w:tcW w:w="4144" w:type="dxa"/>
            <w:vAlign w:val="center"/>
          </w:tcPr>
          <w:p>
            <w:pPr>
              <w:pStyle w:val="3"/>
              <w:rPr>
                <w:rFonts w:ascii="微软雅黑" w:hAnsi="微软雅黑" w:eastAsia="微软雅黑"/>
                <w:sz w:val="21"/>
                <w:szCs w:val="21"/>
              </w:rPr>
            </w:pPr>
            <w:r>
              <w:rPr>
                <w:rFonts w:hint="eastAsia" w:ascii="微软雅黑" w:hAnsi="微软雅黑" w:eastAsia="微软雅黑"/>
                <w:sz w:val="21"/>
                <w:szCs w:val="21"/>
              </w:rPr>
              <w:t>图18消费刺激政策对家电消费效果有限</w:t>
            </w:r>
          </w:p>
        </w:tc>
        <w:tc>
          <w:tcPr>
            <w:tcW w:w="4064" w:type="dxa"/>
            <w:vAlign w:val="center"/>
          </w:tcPr>
          <w:p>
            <w:pPr>
              <w:pStyle w:val="3"/>
              <w:rPr>
                <w:rFonts w:ascii="微软雅黑" w:hAnsi="微软雅黑" w:eastAsia="微软雅黑"/>
                <w:sz w:val="21"/>
                <w:szCs w:val="21"/>
              </w:rPr>
            </w:pPr>
            <w:r>
              <w:rPr>
                <w:rFonts w:hint="eastAsia" w:ascii="微软雅黑" w:hAnsi="微软雅黑" w:eastAsia="微软雅黑"/>
                <w:sz w:val="21"/>
                <w:szCs w:val="21"/>
              </w:rPr>
              <w:t>图19</w:t>
            </w:r>
            <w:r>
              <w:rPr>
                <w:rFonts w:ascii="微软雅黑" w:hAnsi="微软雅黑" w:eastAsia="微软雅黑"/>
                <w:sz w:val="21"/>
                <w:szCs w:val="21"/>
              </w:rPr>
              <w:t xml:space="preserve"> </w:t>
            </w:r>
            <w:r>
              <w:rPr>
                <w:rFonts w:hint="eastAsia" w:ascii="微软雅黑" w:hAnsi="微软雅黑" w:eastAsia="微软雅黑"/>
                <w:sz w:val="21"/>
                <w:szCs w:val="21"/>
              </w:rPr>
              <w:t>中美贸易关系缓和利好家电出口</w:t>
            </w:r>
          </w:p>
        </w:tc>
      </w:tr>
      <w:tr>
        <w:tblPrEx>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Ex>
        <w:trPr>
          <w:trHeight w:val="284" w:hRule="atLeast"/>
        </w:trPr>
        <w:tc>
          <w:tcPr>
            <w:tcW w:w="4144" w:type="dxa"/>
            <w:vAlign w:val="center"/>
          </w:tcPr>
          <w:p>
            <w:pPr>
              <w:ind w:right="-105" w:rightChars="-50"/>
              <w:rPr>
                <w:rFonts w:ascii="微软雅黑" w:hAnsi="微软雅黑" w:eastAsia="微软雅黑"/>
                <w:szCs w:val="21"/>
              </w:rPr>
            </w:pPr>
            <w:r>
              <w:drawing>
                <wp:inline distT="0" distB="0" distL="0" distR="0">
                  <wp:extent cx="2494280" cy="1664335"/>
                  <wp:effectExtent l="0" t="0" r="127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pic:cNvPicPr>
                        </pic:nvPicPr>
                        <pic:blipFill>
                          <a:blip r:embed="rId21"/>
                          <a:stretch>
                            <a:fillRect/>
                          </a:stretch>
                        </pic:blipFill>
                        <pic:spPr>
                          <a:xfrm>
                            <a:off x="0" y="0"/>
                            <a:ext cx="2494280" cy="1664335"/>
                          </a:xfrm>
                          <a:prstGeom prst="rect">
                            <a:avLst/>
                          </a:prstGeom>
                        </pic:spPr>
                      </pic:pic>
                    </a:graphicData>
                  </a:graphic>
                </wp:inline>
              </w:drawing>
            </w:r>
          </w:p>
        </w:tc>
        <w:tc>
          <w:tcPr>
            <w:tcW w:w="4064" w:type="dxa"/>
            <w:vAlign w:val="center"/>
          </w:tcPr>
          <w:p>
            <w:pPr>
              <w:rPr>
                <w:b/>
                <w:bCs/>
              </w:rPr>
            </w:pPr>
            <w:r>
              <w:drawing>
                <wp:inline distT="0" distB="0" distL="0" distR="0">
                  <wp:extent cx="2443480" cy="162750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22"/>
                          <a:stretch>
                            <a:fillRect/>
                          </a:stretch>
                        </pic:blipFill>
                        <pic:spPr>
                          <a:xfrm>
                            <a:off x="0" y="0"/>
                            <a:ext cx="2443480" cy="162750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Ex>
        <w:trPr>
          <w:trHeight w:val="284" w:hRule="atLeast"/>
        </w:trPr>
        <w:tc>
          <w:tcPr>
            <w:tcW w:w="4144" w:type="dxa"/>
            <w:vAlign w:val="center"/>
          </w:tcPr>
          <w:p>
            <w:pPr>
              <w:pStyle w:val="3"/>
              <w:wordWrap w:val="0"/>
              <w:jc w:val="right"/>
              <w:rPr>
                <w:rFonts w:ascii="微软雅黑" w:hAnsi="微软雅黑" w:eastAsia="微软雅黑"/>
                <w:sz w:val="18"/>
                <w:szCs w:val="18"/>
              </w:rPr>
            </w:pPr>
            <w:r>
              <w:rPr>
                <w:rFonts w:hint="eastAsia" w:ascii="微软雅黑" w:hAnsi="微软雅黑" w:eastAsia="微软雅黑"/>
                <w:b/>
                <w:sz w:val="15"/>
                <w:szCs w:val="15"/>
              </w:rPr>
              <w:t xml:space="preserve">  </w:t>
            </w:r>
            <w:r>
              <w:rPr>
                <w:rFonts w:ascii="微软雅黑" w:hAnsi="微软雅黑" w:eastAsia="微软雅黑"/>
                <w:b/>
                <w:sz w:val="15"/>
                <w:szCs w:val="15"/>
              </w:rPr>
              <w:t xml:space="preserve">             </w:t>
            </w:r>
          </w:p>
        </w:tc>
        <w:tc>
          <w:tcPr>
            <w:tcW w:w="4064" w:type="dxa"/>
            <w:vAlign w:val="center"/>
          </w:tcPr>
          <w:p>
            <w:pPr>
              <w:pStyle w:val="3"/>
              <w:jc w:val="right"/>
              <w:rPr>
                <w:rFonts w:ascii="微软雅黑" w:hAnsi="微软雅黑" w:eastAsia="微软雅黑"/>
                <w:sz w:val="18"/>
                <w:szCs w:val="18"/>
              </w:rPr>
            </w:pPr>
            <w:r>
              <w:rPr>
                <w:rFonts w:hint="eastAsia" w:ascii="微软雅黑" w:hAnsi="微软雅黑" w:eastAsia="微软雅黑"/>
                <w:b/>
                <w:sz w:val="15"/>
                <w:szCs w:val="15"/>
              </w:rPr>
              <w:t>数据来源：iFind、兴业期货研究咨询部</w:t>
            </w:r>
          </w:p>
        </w:tc>
      </w:tr>
    </w:tbl>
    <w:p>
      <w:pPr>
        <w:autoSpaceDE w:val="0"/>
        <w:autoSpaceDN w:val="0"/>
        <w:adjustRightInd w:val="0"/>
        <w:spacing w:line="400" w:lineRule="exact"/>
        <w:ind w:firstLine="480" w:firstLineChars="200"/>
        <w:jc w:val="left"/>
        <w:rPr>
          <w:rFonts w:ascii="微软雅黑" w:hAnsi="微软雅黑" w:eastAsia="微软雅黑"/>
          <w:bCs/>
          <w:sz w:val="24"/>
          <w:szCs w:val="24"/>
        </w:rPr>
      </w:pPr>
    </w:p>
    <w:p>
      <w:pPr>
        <w:autoSpaceDE w:val="0"/>
        <w:autoSpaceDN w:val="0"/>
        <w:adjustRightInd w:val="0"/>
        <w:spacing w:line="400" w:lineRule="exact"/>
        <w:ind w:firstLine="480" w:firstLineChars="200"/>
        <w:jc w:val="left"/>
        <w:rPr>
          <w:rFonts w:ascii="微软雅黑" w:hAnsi="微软雅黑" w:eastAsia="微软雅黑"/>
          <w:bCs/>
          <w:sz w:val="24"/>
          <w:szCs w:val="24"/>
        </w:rPr>
      </w:pPr>
      <w:r>
        <w:rPr>
          <w:rFonts w:hint="eastAsia" w:ascii="微软雅黑" w:hAnsi="微软雅黑" w:eastAsia="微软雅黑"/>
          <w:bCs/>
          <w:sz w:val="24"/>
          <w:szCs w:val="24"/>
        </w:rPr>
        <w:t>2019年1月及6月，发改委等相关部门先后发布消费刺激政策及方案。主要措施包括有序推进老旧汽车报废更新、持续优化新能源汽车补贴结构、促进农村汽车更新换代等。而且2019年是购置税优惠退出的第二年，结合以往政策经验，汽车销量快速下滑的势头有望于下半年得到遏制。另外，从2019年7月1日起珠三角地区、成渝地区提前实施机动车国六排放标准，实施国六排放标准后，不满足国六标准的新车不得生产、进口及销售。一方面在国六实行前，经销商加大促销国五车的力度，销售回温；另一方面，部分消费者因不清楚国六排放标准的具体政策内容而持观望态度，待国六实施后，将有部分消费得到释放，因此我们对汽车消费并不悲观。</w:t>
      </w:r>
    </w:p>
    <w:tbl>
      <w:tblPr>
        <w:tblStyle w:val="7"/>
        <w:tblW w:w="8208" w:type="dxa"/>
        <w:tblInd w:w="109" w:type="dxa"/>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
      <w:tblGrid>
        <w:gridCol w:w="4144"/>
        <w:gridCol w:w="4064"/>
      </w:tblGrid>
      <w:tr>
        <w:tblPrEx>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Ex>
        <w:trPr>
          <w:trHeight w:val="284" w:hRule="atLeast"/>
        </w:trPr>
        <w:tc>
          <w:tcPr>
            <w:tcW w:w="4144" w:type="dxa"/>
            <w:vAlign w:val="center"/>
          </w:tcPr>
          <w:p>
            <w:pPr>
              <w:pStyle w:val="3"/>
              <w:rPr>
                <w:rFonts w:ascii="微软雅黑" w:hAnsi="微软雅黑" w:eastAsia="微软雅黑"/>
                <w:sz w:val="21"/>
                <w:szCs w:val="21"/>
              </w:rPr>
            </w:pPr>
            <w:r>
              <w:rPr>
                <w:rFonts w:hint="eastAsia" w:ascii="微软雅黑" w:hAnsi="微软雅黑" w:eastAsia="微软雅黑"/>
                <w:sz w:val="21"/>
                <w:szCs w:val="21"/>
              </w:rPr>
              <w:t>图20 2019年为购置税退出第二年</w:t>
            </w:r>
          </w:p>
        </w:tc>
        <w:tc>
          <w:tcPr>
            <w:tcW w:w="4064" w:type="dxa"/>
            <w:vAlign w:val="center"/>
          </w:tcPr>
          <w:p>
            <w:pPr>
              <w:pStyle w:val="3"/>
              <w:rPr>
                <w:rFonts w:ascii="微软雅黑" w:hAnsi="微软雅黑" w:eastAsia="微软雅黑"/>
                <w:sz w:val="21"/>
                <w:szCs w:val="21"/>
              </w:rPr>
            </w:pPr>
            <w:r>
              <w:rPr>
                <w:rFonts w:hint="eastAsia" w:ascii="微软雅黑" w:hAnsi="微软雅黑" w:eastAsia="微软雅黑"/>
                <w:sz w:val="21"/>
                <w:szCs w:val="21"/>
              </w:rPr>
              <w:t>图21</w:t>
            </w:r>
            <w:r>
              <w:rPr>
                <w:rFonts w:ascii="微软雅黑" w:hAnsi="微软雅黑" w:eastAsia="微软雅黑"/>
                <w:sz w:val="21"/>
                <w:szCs w:val="21"/>
              </w:rPr>
              <w:t xml:space="preserve"> </w:t>
            </w:r>
            <w:r>
              <w:rPr>
                <w:rFonts w:hint="eastAsia" w:ascii="微软雅黑" w:hAnsi="微软雅黑" w:eastAsia="微软雅黑"/>
                <w:sz w:val="21"/>
                <w:szCs w:val="21"/>
              </w:rPr>
              <w:t>2019年国六标准实施时间</w:t>
            </w:r>
          </w:p>
        </w:tc>
      </w:tr>
      <w:tr>
        <w:tblPrEx>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Ex>
        <w:trPr>
          <w:trHeight w:val="284" w:hRule="atLeast"/>
        </w:trPr>
        <w:tc>
          <w:tcPr>
            <w:tcW w:w="4144" w:type="dxa"/>
            <w:vAlign w:val="center"/>
          </w:tcPr>
          <w:p>
            <w:pPr>
              <w:ind w:right="-105" w:rightChars="-50"/>
              <w:rPr>
                <w:rFonts w:ascii="微软雅黑" w:hAnsi="微软雅黑" w:eastAsia="微软雅黑"/>
                <w:szCs w:val="21"/>
              </w:rPr>
            </w:pPr>
            <w:r>
              <w:drawing>
                <wp:inline distT="0" distB="0" distL="0" distR="0">
                  <wp:extent cx="2494280" cy="1664335"/>
                  <wp:effectExtent l="0" t="0" r="127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pic:cNvPicPr>
                        </pic:nvPicPr>
                        <pic:blipFill>
                          <a:blip r:embed="rId23"/>
                          <a:stretch>
                            <a:fillRect/>
                          </a:stretch>
                        </pic:blipFill>
                        <pic:spPr>
                          <a:xfrm>
                            <a:off x="0" y="0"/>
                            <a:ext cx="2494280" cy="1664335"/>
                          </a:xfrm>
                          <a:prstGeom prst="rect">
                            <a:avLst/>
                          </a:prstGeom>
                        </pic:spPr>
                      </pic:pic>
                    </a:graphicData>
                  </a:graphic>
                </wp:inline>
              </w:drawing>
            </w:r>
          </w:p>
        </w:tc>
        <w:tc>
          <w:tcPr>
            <w:tcW w:w="4064" w:type="dxa"/>
            <w:vAlign w:val="center"/>
          </w:tcPr>
          <w:p>
            <w:pPr>
              <w:rPr>
                <w:b/>
                <w:bCs/>
              </w:rPr>
            </w:pPr>
            <w:r>
              <w:drawing>
                <wp:inline distT="0" distB="0" distL="0" distR="0">
                  <wp:extent cx="2443480" cy="1268730"/>
                  <wp:effectExtent l="0" t="0" r="0" b="762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24"/>
                          <a:stretch>
                            <a:fillRect/>
                          </a:stretch>
                        </pic:blipFill>
                        <pic:spPr>
                          <a:xfrm>
                            <a:off x="0" y="0"/>
                            <a:ext cx="2443480" cy="126873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Ex>
        <w:trPr>
          <w:trHeight w:val="284" w:hRule="atLeast"/>
        </w:trPr>
        <w:tc>
          <w:tcPr>
            <w:tcW w:w="4144" w:type="dxa"/>
            <w:vAlign w:val="center"/>
          </w:tcPr>
          <w:p>
            <w:pPr>
              <w:pStyle w:val="3"/>
              <w:wordWrap w:val="0"/>
              <w:jc w:val="right"/>
              <w:rPr>
                <w:rFonts w:ascii="微软雅黑" w:hAnsi="微软雅黑" w:eastAsia="微软雅黑"/>
                <w:sz w:val="18"/>
                <w:szCs w:val="18"/>
              </w:rPr>
            </w:pPr>
            <w:r>
              <w:rPr>
                <w:rFonts w:hint="eastAsia" w:ascii="微软雅黑" w:hAnsi="微软雅黑" w:eastAsia="微软雅黑"/>
                <w:b/>
                <w:sz w:val="15"/>
                <w:szCs w:val="15"/>
              </w:rPr>
              <w:t xml:space="preserve">  </w:t>
            </w:r>
            <w:r>
              <w:rPr>
                <w:rFonts w:ascii="微软雅黑" w:hAnsi="微软雅黑" w:eastAsia="微软雅黑"/>
                <w:b/>
                <w:sz w:val="15"/>
                <w:szCs w:val="15"/>
              </w:rPr>
              <w:t xml:space="preserve">             </w:t>
            </w:r>
          </w:p>
        </w:tc>
        <w:tc>
          <w:tcPr>
            <w:tcW w:w="4064" w:type="dxa"/>
            <w:vAlign w:val="center"/>
          </w:tcPr>
          <w:p>
            <w:pPr>
              <w:pStyle w:val="3"/>
              <w:jc w:val="right"/>
              <w:rPr>
                <w:rFonts w:ascii="微软雅黑" w:hAnsi="微软雅黑" w:eastAsia="微软雅黑"/>
                <w:sz w:val="18"/>
                <w:szCs w:val="18"/>
              </w:rPr>
            </w:pPr>
            <w:r>
              <w:rPr>
                <w:rFonts w:hint="eastAsia" w:ascii="微软雅黑" w:hAnsi="微软雅黑" w:eastAsia="微软雅黑"/>
                <w:b/>
                <w:sz w:val="15"/>
                <w:szCs w:val="15"/>
              </w:rPr>
              <w:t>数据来源：iFind、兴业期货研究咨询部</w:t>
            </w:r>
          </w:p>
        </w:tc>
      </w:tr>
    </w:tbl>
    <w:p>
      <w:pPr>
        <w:autoSpaceDE w:val="0"/>
        <w:autoSpaceDN w:val="0"/>
        <w:adjustRightInd w:val="0"/>
        <w:spacing w:line="400" w:lineRule="exact"/>
        <w:ind w:firstLine="480" w:firstLineChars="200"/>
        <w:jc w:val="left"/>
        <w:rPr>
          <w:rFonts w:ascii="微软雅黑" w:hAnsi="微软雅黑" w:eastAsia="微软雅黑"/>
          <w:bCs/>
          <w:sz w:val="24"/>
          <w:szCs w:val="24"/>
        </w:rPr>
      </w:pPr>
    </w:p>
    <w:p>
      <w:pPr>
        <w:autoSpaceDE w:val="0"/>
        <w:autoSpaceDN w:val="0"/>
        <w:adjustRightInd w:val="0"/>
        <w:spacing w:line="400" w:lineRule="exact"/>
        <w:ind w:firstLine="480" w:firstLineChars="200"/>
        <w:jc w:val="left"/>
        <w:rPr>
          <w:rFonts w:ascii="微软雅黑" w:hAnsi="微软雅黑" w:eastAsia="微软雅黑"/>
          <w:bCs/>
          <w:sz w:val="24"/>
          <w:szCs w:val="24"/>
        </w:rPr>
      </w:pPr>
      <w:r>
        <w:rPr>
          <w:rFonts w:hint="eastAsia" w:ascii="微软雅黑" w:hAnsi="微软雅黑" w:eastAsia="微软雅黑"/>
          <w:bCs/>
          <w:sz w:val="24"/>
          <w:szCs w:val="24"/>
        </w:rPr>
        <w:t>2018年9月7日，国家能源局核准青海至河南特高压直流、白鹤滩至江苏、白鹤滩至浙江特高压直流等9项重点输变电工程建设，合计输电能力5700万千瓦，核准开工时间集中在2018年第四季度和2019年。 2019年1-5月全国电网基本建设工程投资完成额1157亿元，同比下降18.2%，上半年电网投资增速仍处负增。但国网钢芯铝绞线交货进度主要集中在下半年，届时有望带动电解铝消费。</w:t>
      </w:r>
    </w:p>
    <w:tbl>
      <w:tblPr>
        <w:tblStyle w:val="7"/>
        <w:tblW w:w="8208" w:type="dxa"/>
        <w:tblInd w:w="109" w:type="dxa"/>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
      <w:tblGrid>
        <w:gridCol w:w="4144"/>
        <w:gridCol w:w="4064"/>
      </w:tblGrid>
      <w:tr>
        <w:tblPrEx>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Ex>
        <w:trPr>
          <w:trHeight w:val="284" w:hRule="atLeast"/>
        </w:trPr>
        <w:tc>
          <w:tcPr>
            <w:tcW w:w="4144" w:type="dxa"/>
            <w:vAlign w:val="center"/>
          </w:tcPr>
          <w:p>
            <w:pPr>
              <w:pStyle w:val="3"/>
              <w:rPr>
                <w:rFonts w:ascii="微软雅黑" w:hAnsi="微软雅黑" w:eastAsia="微软雅黑"/>
                <w:sz w:val="21"/>
                <w:szCs w:val="21"/>
              </w:rPr>
            </w:pPr>
            <w:r>
              <w:rPr>
                <w:rFonts w:hint="eastAsia" w:ascii="微软雅黑" w:hAnsi="微软雅黑" w:eastAsia="微软雅黑"/>
                <w:sz w:val="21"/>
                <w:szCs w:val="21"/>
              </w:rPr>
              <w:t>图22上半年电网投资仍不乐观</w:t>
            </w:r>
          </w:p>
        </w:tc>
        <w:tc>
          <w:tcPr>
            <w:tcW w:w="4064" w:type="dxa"/>
            <w:vAlign w:val="center"/>
          </w:tcPr>
          <w:p>
            <w:pPr>
              <w:pStyle w:val="3"/>
              <w:rPr>
                <w:rFonts w:ascii="微软雅黑" w:hAnsi="微软雅黑" w:eastAsia="微软雅黑"/>
                <w:sz w:val="21"/>
                <w:szCs w:val="21"/>
              </w:rPr>
            </w:pPr>
            <w:r>
              <w:rPr>
                <w:rFonts w:hint="eastAsia" w:ascii="微软雅黑" w:hAnsi="微软雅黑" w:eastAsia="微软雅黑"/>
                <w:sz w:val="21"/>
                <w:szCs w:val="21"/>
              </w:rPr>
              <w:t>图23</w:t>
            </w:r>
            <w:r>
              <w:rPr>
                <w:rFonts w:ascii="微软雅黑" w:hAnsi="微软雅黑" w:eastAsia="微软雅黑"/>
                <w:sz w:val="21"/>
                <w:szCs w:val="21"/>
              </w:rPr>
              <w:t xml:space="preserve"> </w:t>
            </w:r>
            <w:r>
              <w:rPr>
                <w:rFonts w:hint="eastAsia" w:ascii="微软雅黑" w:hAnsi="微软雅黑" w:eastAsia="微软雅黑"/>
                <w:sz w:val="21"/>
                <w:szCs w:val="21"/>
              </w:rPr>
              <w:t>钢芯铝绞线交货进度下半年好转</w:t>
            </w:r>
          </w:p>
        </w:tc>
      </w:tr>
      <w:tr>
        <w:tblPrEx>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Ex>
        <w:trPr>
          <w:trHeight w:val="284" w:hRule="atLeast"/>
        </w:trPr>
        <w:tc>
          <w:tcPr>
            <w:tcW w:w="4144" w:type="dxa"/>
            <w:vAlign w:val="center"/>
          </w:tcPr>
          <w:p>
            <w:pPr>
              <w:ind w:right="-105" w:rightChars="-50"/>
              <w:rPr>
                <w:rFonts w:ascii="微软雅黑" w:hAnsi="微软雅黑" w:eastAsia="微软雅黑"/>
                <w:szCs w:val="21"/>
              </w:rPr>
            </w:pPr>
            <w:r>
              <w:drawing>
                <wp:inline distT="0" distB="0" distL="0" distR="0">
                  <wp:extent cx="2494280" cy="1664335"/>
                  <wp:effectExtent l="0" t="0" r="127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pic:cNvPicPr>
                        </pic:nvPicPr>
                        <pic:blipFill>
                          <a:blip r:embed="rId25"/>
                          <a:stretch>
                            <a:fillRect/>
                          </a:stretch>
                        </pic:blipFill>
                        <pic:spPr>
                          <a:xfrm>
                            <a:off x="0" y="0"/>
                            <a:ext cx="2494280" cy="1664335"/>
                          </a:xfrm>
                          <a:prstGeom prst="rect">
                            <a:avLst/>
                          </a:prstGeom>
                        </pic:spPr>
                      </pic:pic>
                    </a:graphicData>
                  </a:graphic>
                </wp:inline>
              </w:drawing>
            </w:r>
          </w:p>
        </w:tc>
        <w:tc>
          <w:tcPr>
            <w:tcW w:w="4064" w:type="dxa"/>
            <w:vAlign w:val="center"/>
          </w:tcPr>
          <w:p>
            <w:pPr>
              <w:rPr>
                <w:b/>
                <w:bCs/>
              </w:rPr>
            </w:pPr>
            <w:r>
              <w:drawing>
                <wp:inline distT="0" distB="0" distL="0" distR="0">
                  <wp:extent cx="2443480" cy="162750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pic:cNvPicPr>
                        </pic:nvPicPr>
                        <pic:blipFill>
                          <a:blip r:embed="rId26"/>
                          <a:stretch>
                            <a:fillRect/>
                          </a:stretch>
                        </pic:blipFill>
                        <pic:spPr>
                          <a:xfrm>
                            <a:off x="0" y="0"/>
                            <a:ext cx="2443480" cy="162750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Ex>
        <w:trPr>
          <w:trHeight w:val="284" w:hRule="atLeast"/>
        </w:trPr>
        <w:tc>
          <w:tcPr>
            <w:tcW w:w="4144" w:type="dxa"/>
            <w:vAlign w:val="center"/>
          </w:tcPr>
          <w:p>
            <w:pPr>
              <w:pStyle w:val="3"/>
              <w:wordWrap w:val="0"/>
              <w:jc w:val="right"/>
              <w:rPr>
                <w:rFonts w:ascii="微软雅黑" w:hAnsi="微软雅黑" w:eastAsia="微软雅黑"/>
                <w:sz w:val="18"/>
                <w:szCs w:val="18"/>
              </w:rPr>
            </w:pPr>
            <w:r>
              <w:rPr>
                <w:rFonts w:hint="eastAsia" w:ascii="微软雅黑" w:hAnsi="微软雅黑" w:eastAsia="微软雅黑"/>
                <w:b/>
                <w:sz w:val="15"/>
                <w:szCs w:val="15"/>
              </w:rPr>
              <w:t xml:space="preserve">  </w:t>
            </w:r>
            <w:r>
              <w:rPr>
                <w:rFonts w:ascii="微软雅黑" w:hAnsi="微软雅黑" w:eastAsia="微软雅黑"/>
                <w:b/>
                <w:sz w:val="15"/>
                <w:szCs w:val="15"/>
              </w:rPr>
              <w:t xml:space="preserve">             </w:t>
            </w:r>
          </w:p>
        </w:tc>
        <w:tc>
          <w:tcPr>
            <w:tcW w:w="4064" w:type="dxa"/>
            <w:vAlign w:val="center"/>
          </w:tcPr>
          <w:p>
            <w:pPr>
              <w:pStyle w:val="3"/>
              <w:jc w:val="right"/>
              <w:rPr>
                <w:rFonts w:ascii="微软雅黑" w:hAnsi="微软雅黑" w:eastAsia="微软雅黑"/>
                <w:sz w:val="18"/>
                <w:szCs w:val="18"/>
              </w:rPr>
            </w:pPr>
            <w:r>
              <w:rPr>
                <w:rFonts w:hint="eastAsia" w:ascii="微软雅黑" w:hAnsi="微软雅黑" w:eastAsia="微软雅黑"/>
                <w:b/>
                <w:sz w:val="15"/>
                <w:szCs w:val="15"/>
              </w:rPr>
              <w:t>数据来源：iFind、兴业期货研究咨询部</w:t>
            </w:r>
          </w:p>
        </w:tc>
      </w:tr>
    </w:tbl>
    <w:p>
      <w:pPr>
        <w:autoSpaceDE w:val="0"/>
        <w:autoSpaceDN w:val="0"/>
        <w:adjustRightInd w:val="0"/>
        <w:spacing w:line="400" w:lineRule="exact"/>
        <w:ind w:firstLine="480" w:firstLineChars="200"/>
        <w:jc w:val="left"/>
        <w:rPr>
          <w:rFonts w:ascii="微软雅黑" w:hAnsi="微软雅黑" w:eastAsia="微软雅黑"/>
          <w:bCs/>
          <w:sz w:val="24"/>
          <w:szCs w:val="24"/>
        </w:rPr>
      </w:pPr>
    </w:p>
    <w:p>
      <w:pPr>
        <w:pStyle w:val="2"/>
        <w:spacing w:before="31" w:beforeLines="10" w:after="0"/>
        <w:rPr>
          <w:rFonts w:ascii="微软雅黑" w:hAnsi="微软雅黑" w:eastAsia="微软雅黑"/>
          <w:sz w:val="24"/>
          <w:szCs w:val="24"/>
        </w:rPr>
      </w:pPr>
      <w:r>
        <w:rPr>
          <w:rFonts w:hint="eastAsia" w:ascii="微软雅黑" w:hAnsi="微软雅黑" w:eastAsia="微软雅黑"/>
          <w:sz w:val="24"/>
          <w:szCs w:val="24"/>
        </w:rPr>
        <w:t>C 成本支撑减弱</w:t>
      </w:r>
    </w:p>
    <w:p>
      <w:pPr>
        <w:spacing w:line="400" w:lineRule="exact"/>
        <w:ind w:firstLine="480" w:firstLineChars="200"/>
        <w:rPr>
          <w:rFonts w:ascii="微软雅黑" w:hAnsi="微软雅黑" w:eastAsia="微软雅黑"/>
          <w:bCs/>
          <w:sz w:val="24"/>
          <w:szCs w:val="24"/>
        </w:rPr>
      </w:pPr>
      <w:r>
        <w:rPr>
          <w:rFonts w:hint="eastAsia" w:ascii="微软雅黑" w:hAnsi="微软雅黑" w:eastAsia="微软雅黑"/>
          <w:bCs/>
          <w:sz w:val="24"/>
          <w:szCs w:val="24"/>
        </w:rPr>
        <w:t>我国铝土矿资源集中程度较高，90%以上的储量分布在山西、河南、贵州、广西。其中山西、河南两地自2018年5月以来环保常态化及整治非法开采，当前新建及扩建项目受到严格限制，另外随着氧化铝产能的不断扩张，铝土矿开采步伐无法跟进致使国内矿石供应短缺成为不可回避的现实。就低品位矿而言，山西矿价基本稳定在465元/吨，河南矿价稳定在440元/吨。</w:t>
      </w:r>
    </w:p>
    <w:tbl>
      <w:tblPr>
        <w:tblStyle w:val="7"/>
        <w:tblW w:w="8208" w:type="dxa"/>
        <w:tblInd w:w="109" w:type="dxa"/>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
      <w:tblGrid>
        <w:gridCol w:w="4144"/>
        <w:gridCol w:w="4064"/>
      </w:tblGrid>
      <w:tr>
        <w:tblPrEx>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Ex>
        <w:trPr>
          <w:trHeight w:val="284" w:hRule="atLeast"/>
        </w:trPr>
        <w:tc>
          <w:tcPr>
            <w:tcW w:w="4144" w:type="dxa"/>
            <w:vAlign w:val="center"/>
          </w:tcPr>
          <w:p>
            <w:pPr>
              <w:pStyle w:val="3"/>
              <w:rPr>
                <w:rFonts w:ascii="微软雅黑" w:hAnsi="微软雅黑" w:eastAsia="微软雅黑"/>
                <w:sz w:val="21"/>
                <w:szCs w:val="21"/>
              </w:rPr>
            </w:pPr>
            <w:r>
              <w:rPr>
                <w:rFonts w:hint="eastAsia" w:ascii="微软雅黑" w:hAnsi="微软雅黑" w:eastAsia="微软雅黑"/>
                <w:sz w:val="21"/>
                <w:szCs w:val="21"/>
              </w:rPr>
              <w:t>图24国内矿供应紧缺，矿价维持高位</w:t>
            </w:r>
          </w:p>
        </w:tc>
        <w:tc>
          <w:tcPr>
            <w:tcW w:w="4064" w:type="dxa"/>
            <w:vAlign w:val="center"/>
          </w:tcPr>
          <w:p>
            <w:pPr>
              <w:pStyle w:val="3"/>
              <w:rPr>
                <w:rFonts w:ascii="微软雅黑" w:hAnsi="微软雅黑" w:eastAsia="微软雅黑"/>
                <w:sz w:val="21"/>
                <w:szCs w:val="21"/>
              </w:rPr>
            </w:pPr>
            <w:r>
              <w:rPr>
                <w:rFonts w:hint="eastAsia" w:ascii="微软雅黑" w:hAnsi="微软雅黑" w:eastAsia="微软雅黑"/>
                <w:sz w:val="21"/>
                <w:szCs w:val="21"/>
              </w:rPr>
              <w:t>图25</w:t>
            </w:r>
            <w:r>
              <w:rPr>
                <w:rFonts w:ascii="微软雅黑" w:hAnsi="微软雅黑" w:eastAsia="微软雅黑"/>
                <w:sz w:val="21"/>
                <w:szCs w:val="21"/>
              </w:rPr>
              <w:t xml:space="preserve"> </w:t>
            </w:r>
            <w:r>
              <w:rPr>
                <w:rFonts w:hint="eastAsia" w:ascii="微软雅黑" w:hAnsi="微软雅黑" w:eastAsia="微软雅黑"/>
                <w:sz w:val="21"/>
                <w:szCs w:val="21"/>
              </w:rPr>
              <w:t>进口矿具有价格优势</w:t>
            </w:r>
          </w:p>
        </w:tc>
      </w:tr>
      <w:tr>
        <w:tblPrEx>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Ex>
        <w:trPr>
          <w:trHeight w:val="284" w:hRule="atLeast"/>
        </w:trPr>
        <w:tc>
          <w:tcPr>
            <w:tcW w:w="4144" w:type="dxa"/>
            <w:vAlign w:val="center"/>
          </w:tcPr>
          <w:p>
            <w:pPr>
              <w:ind w:right="-105" w:rightChars="-50"/>
              <w:rPr>
                <w:rFonts w:ascii="微软雅黑" w:hAnsi="微软雅黑" w:eastAsia="微软雅黑"/>
                <w:szCs w:val="21"/>
              </w:rPr>
            </w:pPr>
            <w:r>
              <mc:AlternateContent>
                <mc:Choice Requires="wps">
                  <w:drawing>
                    <wp:anchor distT="0" distB="0" distL="114300" distR="114300" simplePos="0" relativeHeight="251659264" behindDoc="0" locked="0" layoutInCell="1" allowOverlap="1">
                      <wp:simplePos x="0" y="0"/>
                      <wp:positionH relativeFrom="column">
                        <wp:posOffset>2245360</wp:posOffset>
                      </wp:positionH>
                      <wp:positionV relativeFrom="paragraph">
                        <wp:posOffset>461010</wp:posOffset>
                      </wp:positionV>
                      <wp:extent cx="2543175" cy="552450"/>
                      <wp:effectExtent l="38100" t="0" r="9525" b="95250"/>
                      <wp:wrapNone/>
                      <wp:docPr id="80" name="曲线连接符 80"/>
                      <wp:cNvGraphicFramePr/>
                      <a:graphic xmlns:a="http://schemas.openxmlformats.org/drawingml/2006/main">
                        <a:graphicData uri="http://schemas.microsoft.com/office/word/2010/wordprocessingShape">
                          <wps:wsp>
                            <wps:cNvCnPr/>
                            <wps:spPr>
                              <a:xfrm flipH="1">
                                <a:off x="0" y="0"/>
                                <a:ext cx="2543175" cy="552450"/>
                              </a:xfrm>
                              <a:prstGeom prst="curvedConnector3">
                                <a:avLst>
                                  <a:gd name="adj1" fmla="val 74033"/>
                                </a:avLst>
                              </a:prstGeom>
                              <a:ln w="1905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8" type="#_x0000_t38" style="position:absolute;left:0pt;flip:x;margin-left:176.8pt;margin-top:36.3pt;height:43.5pt;width:200.25pt;z-index:251659264;mso-width-relative:page;mso-height-relative:page;" filled="f" stroked="t" coordsize="21600,21600" o:gfxdata="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39swH2gAAAAoBAAAPAAAAAAAAAAEAIAAA&#10;ACIAAABkcnMvZG93bnJldi54bWxQSwECFAAUAAAACACHTuJAqSPqdgoCAADJAwAADgAAAAAAAAAB&#10;ACAAAAApAQAAZHJzL2Uyb0RvYy54bWxQSwUGAAAAAAYABgBZAQAApQUAAAAA&#10;" adj="15991">
                      <v:fill on="f" focussize="0,0"/>
                      <v:stroke weight="1.5pt" color="#000000 [3213]" miterlimit="8" joinstyle="miter" dashstyle="dash" endarrow="block"/>
                      <v:imagedata o:title=""/>
                      <o:lock v:ext="edit" aspectratio="f"/>
                    </v:shape>
                  </w:pict>
                </mc:Fallback>
              </mc:AlternateContent>
            </w:r>
            <w:r>
              <w:drawing>
                <wp:inline distT="0" distB="0" distL="0" distR="0">
                  <wp:extent cx="2494280" cy="1664335"/>
                  <wp:effectExtent l="0" t="0" r="127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pic:cNvPicPr>
                        </pic:nvPicPr>
                        <pic:blipFill>
                          <a:blip r:embed="rId27"/>
                          <a:stretch>
                            <a:fillRect/>
                          </a:stretch>
                        </pic:blipFill>
                        <pic:spPr>
                          <a:xfrm>
                            <a:off x="0" y="0"/>
                            <a:ext cx="2494280" cy="1664335"/>
                          </a:xfrm>
                          <a:prstGeom prst="rect">
                            <a:avLst/>
                          </a:prstGeom>
                        </pic:spPr>
                      </pic:pic>
                    </a:graphicData>
                  </a:graphic>
                </wp:inline>
              </w:drawing>
            </w:r>
          </w:p>
        </w:tc>
        <w:tc>
          <w:tcPr>
            <w:tcW w:w="4064" w:type="dxa"/>
            <w:vAlign w:val="center"/>
          </w:tcPr>
          <w:p>
            <w:pPr>
              <w:rPr>
                <w:b/>
                <w:bCs/>
              </w:rPr>
            </w:pPr>
            <w:r>
              <w:drawing>
                <wp:inline distT="0" distB="0" distL="0" distR="0">
                  <wp:extent cx="2443480" cy="162750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pic:cNvPicPr>
                        </pic:nvPicPr>
                        <pic:blipFill>
                          <a:blip r:embed="rId28"/>
                          <a:stretch>
                            <a:fillRect/>
                          </a:stretch>
                        </pic:blipFill>
                        <pic:spPr>
                          <a:xfrm>
                            <a:off x="0" y="0"/>
                            <a:ext cx="2443480" cy="162750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Ex>
        <w:trPr>
          <w:trHeight w:val="284" w:hRule="atLeast"/>
        </w:trPr>
        <w:tc>
          <w:tcPr>
            <w:tcW w:w="4144" w:type="dxa"/>
            <w:vAlign w:val="center"/>
          </w:tcPr>
          <w:p>
            <w:pPr>
              <w:pStyle w:val="3"/>
              <w:wordWrap w:val="0"/>
              <w:jc w:val="right"/>
              <w:rPr>
                <w:rFonts w:ascii="微软雅黑" w:hAnsi="微软雅黑" w:eastAsia="微软雅黑"/>
                <w:sz w:val="18"/>
                <w:szCs w:val="18"/>
              </w:rPr>
            </w:pPr>
            <w:r>
              <w:rPr>
                <w:rFonts w:hint="eastAsia" w:ascii="微软雅黑" w:hAnsi="微软雅黑" w:eastAsia="微软雅黑"/>
                <w:b/>
                <w:sz w:val="15"/>
                <w:szCs w:val="15"/>
              </w:rPr>
              <w:t xml:space="preserve">  </w:t>
            </w:r>
            <w:r>
              <w:rPr>
                <w:rFonts w:ascii="微软雅黑" w:hAnsi="微软雅黑" w:eastAsia="微软雅黑"/>
                <w:b/>
                <w:sz w:val="15"/>
                <w:szCs w:val="15"/>
              </w:rPr>
              <w:t xml:space="preserve">             </w:t>
            </w:r>
          </w:p>
        </w:tc>
        <w:tc>
          <w:tcPr>
            <w:tcW w:w="4064" w:type="dxa"/>
            <w:vAlign w:val="center"/>
          </w:tcPr>
          <w:p>
            <w:pPr>
              <w:pStyle w:val="3"/>
              <w:jc w:val="right"/>
              <w:rPr>
                <w:rFonts w:ascii="微软雅黑" w:hAnsi="微软雅黑" w:eastAsia="微软雅黑"/>
                <w:sz w:val="18"/>
                <w:szCs w:val="18"/>
              </w:rPr>
            </w:pPr>
            <w:r>
              <w:rPr>
                <w:rFonts w:hint="eastAsia" w:ascii="微软雅黑" w:hAnsi="微软雅黑" w:eastAsia="微软雅黑"/>
                <w:b/>
                <w:sz w:val="15"/>
                <w:szCs w:val="15"/>
              </w:rPr>
              <w:t>数据来源：iFind、兴业期货研究咨询部</w:t>
            </w:r>
          </w:p>
        </w:tc>
      </w:tr>
    </w:tbl>
    <w:p>
      <w:pPr>
        <w:spacing w:line="400" w:lineRule="exact"/>
        <w:ind w:firstLine="480" w:firstLineChars="200"/>
        <w:rPr>
          <w:rFonts w:ascii="微软雅黑" w:hAnsi="微软雅黑" w:eastAsia="微软雅黑"/>
          <w:bCs/>
          <w:sz w:val="24"/>
          <w:szCs w:val="24"/>
        </w:rPr>
      </w:pPr>
    </w:p>
    <w:p>
      <w:pPr>
        <w:spacing w:line="400" w:lineRule="exact"/>
        <w:ind w:firstLine="480" w:firstLineChars="200"/>
        <w:rPr>
          <w:rFonts w:ascii="微软雅黑" w:hAnsi="微软雅黑" w:eastAsia="微软雅黑"/>
          <w:bCs/>
          <w:sz w:val="24"/>
          <w:szCs w:val="24"/>
        </w:rPr>
      </w:pPr>
      <w:r>
        <w:rPr>
          <w:rFonts w:hint="eastAsia" w:ascii="微软雅黑" w:hAnsi="微软雅黑" w:eastAsia="微软雅黑"/>
          <w:bCs/>
          <w:sz w:val="24"/>
          <w:szCs w:val="24"/>
        </w:rPr>
        <w:t xml:space="preserve">按照2018年氧化铝产量计算至少需要进口6418万吨铝土矿才能满足生产，当年实际进口量8220万吨，进口依存度达54%。 可见，为解决原料供应不足问题，国内氧化铝企业纷纷扩大海外铝土矿使用规模，并形成以赢联盟为代表的企业 “走出去”布局海外铝土矿资源。据了解，为更好地使用进口矿，国电投山西铝业及香江万基等氧化铝企业已经对传统的生产工艺进行调整。 </w:t>
      </w:r>
    </w:p>
    <w:p>
      <w:pPr>
        <w:spacing w:line="400" w:lineRule="exact"/>
        <w:ind w:firstLine="480" w:firstLineChars="200"/>
        <w:rPr>
          <w:rFonts w:ascii="微软雅黑" w:hAnsi="微软雅黑" w:eastAsia="微软雅黑"/>
          <w:bCs/>
          <w:sz w:val="24"/>
          <w:szCs w:val="24"/>
        </w:rPr>
      </w:pPr>
      <w:r>
        <w:rPr>
          <w:rFonts w:hint="eastAsia" w:ascii="微软雅黑" w:hAnsi="微软雅黑" w:eastAsia="微软雅黑"/>
          <w:bCs/>
          <w:sz w:val="24"/>
          <w:szCs w:val="24"/>
        </w:rPr>
        <w:t>可以预见的是，国内矿石在环保督查，矿山整治背景下，产能难放开，一方面供应紧张，一方面价格攀升，导致氧化铝企业失去成本优势，随着生产工艺的改进，进口矿成本优势及生产优势将凸显，增加矿石进口将成为常态。目前进口矿与国内矿已成博弈状态，如果国内矿要价继续过于强势，将促使晋豫等地氧化铝厂转向使用进口矿，进口矿的优势将增加。</w:t>
      </w:r>
    </w:p>
    <w:tbl>
      <w:tblPr>
        <w:tblStyle w:val="7"/>
        <w:tblW w:w="8208" w:type="dxa"/>
        <w:tblInd w:w="109" w:type="dxa"/>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
      <w:tblGrid>
        <w:gridCol w:w="4144"/>
        <w:gridCol w:w="4064"/>
      </w:tblGrid>
      <w:tr>
        <w:tblPrEx>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Ex>
        <w:trPr>
          <w:trHeight w:val="284" w:hRule="atLeast"/>
        </w:trPr>
        <w:tc>
          <w:tcPr>
            <w:tcW w:w="4144" w:type="dxa"/>
            <w:vAlign w:val="center"/>
          </w:tcPr>
          <w:p>
            <w:pPr>
              <w:pStyle w:val="3"/>
              <w:rPr>
                <w:rFonts w:ascii="微软雅黑" w:hAnsi="微软雅黑" w:eastAsia="微软雅黑"/>
                <w:sz w:val="21"/>
                <w:szCs w:val="21"/>
              </w:rPr>
            </w:pPr>
            <w:r>
              <w:rPr>
                <w:rFonts w:hint="eastAsia" w:ascii="微软雅黑" w:hAnsi="微软雅黑" w:eastAsia="微软雅黑"/>
                <w:sz w:val="21"/>
                <w:szCs w:val="21"/>
              </w:rPr>
              <w:t>图26国内矿供应紧缺，矿价维持高位</w:t>
            </w:r>
          </w:p>
        </w:tc>
        <w:tc>
          <w:tcPr>
            <w:tcW w:w="4064" w:type="dxa"/>
            <w:vAlign w:val="center"/>
          </w:tcPr>
          <w:p>
            <w:pPr>
              <w:pStyle w:val="3"/>
              <w:rPr>
                <w:rFonts w:ascii="微软雅黑" w:hAnsi="微软雅黑" w:eastAsia="微软雅黑"/>
                <w:sz w:val="21"/>
                <w:szCs w:val="21"/>
              </w:rPr>
            </w:pPr>
            <w:r>
              <w:rPr>
                <w:rFonts w:hint="eastAsia" w:ascii="微软雅黑" w:hAnsi="微软雅黑" w:eastAsia="微软雅黑"/>
                <w:sz w:val="21"/>
                <w:szCs w:val="21"/>
              </w:rPr>
              <w:t>图27</w:t>
            </w:r>
            <w:r>
              <w:rPr>
                <w:rFonts w:ascii="微软雅黑" w:hAnsi="微软雅黑" w:eastAsia="微软雅黑"/>
                <w:sz w:val="21"/>
                <w:szCs w:val="21"/>
              </w:rPr>
              <w:t xml:space="preserve"> </w:t>
            </w:r>
            <w:r>
              <w:rPr>
                <w:rFonts w:hint="eastAsia" w:ascii="微软雅黑" w:hAnsi="微软雅黑" w:eastAsia="微软雅黑"/>
                <w:sz w:val="21"/>
                <w:szCs w:val="21"/>
              </w:rPr>
              <w:t>进口矿具有价格优势</w:t>
            </w:r>
          </w:p>
        </w:tc>
      </w:tr>
      <w:tr>
        <w:tblPrEx>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Ex>
        <w:trPr>
          <w:trHeight w:val="284" w:hRule="atLeast"/>
        </w:trPr>
        <w:tc>
          <w:tcPr>
            <w:tcW w:w="4144" w:type="dxa"/>
            <w:vAlign w:val="center"/>
          </w:tcPr>
          <w:p>
            <w:pPr>
              <w:ind w:right="-105" w:rightChars="-50"/>
              <w:rPr>
                <w:rFonts w:ascii="微软雅黑" w:hAnsi="微软雅黑" w:eastAsia="微软雅黑"/>
                <w:szCs w:val="21"/>
              </w:rPr>
            </w:pPr>
            <w:r>
              <w:drawing>
                <wp:inline distT="0" distB="0" distL="0" distR="0">
                  <wp:extent cx="2494280" cy="1664335"/>
                  <wp:effectExtent l="0" t="0" r="127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pic:cNvPicPr>
                        </pic:nvPicPr>
                        <pic:blipFill>
                          <a:blip r:embed="rId29"/>
                          <a:stretch>
                            <a:fillRect/>
                          </a:stretch>
                        </pic:blipFill>
                        <pic:spPr>
                          <a:xfrm>
                            <a:off x="0" y="0"/>
                            <a:ext cx="2494280" cy="1664335"/>
                          </a:xfrm>
                          <a:prstGeom prst="rect">
                            <a:avLst/>
                          </a:prstGeom>
                        </pic:spPr>
                      </pic:pic>
                    </a:graphicData>
                  </a:graphic>
                </wp:inline>
              </w:drawing>
            </w:r>
          </w:p>
        </w:tc>
        <w:tc>
          <w:tcPr>
            <w:tcW w:w="4064" w:type="dxa"/>
            <w:vAlign w:val="center"/>
          </w:tcPr>
          <w:p>
            <w:pPr>
              <w:rPr>
                <w:b/>
                <w:bCs/>
              </w:rPr>
            </w:pPr>
            <w:r>
              <w:drawing>
                <wp:inline distT="0" distB="0" distL="0" distR="0">
                  <wp:extent cx="2443480" cy="1627505"/>
                  <wp:effectExtent l="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pic:cNvPicPr>
                        </pic:nvPicPr>
                        <pic:blipFill>
                          <a:blip r:embed="rId30"/>
                          <a:stretch>
                            <a:fillRect/>
                          </a:stretch>
                        </pic:blipFill>
                        <pic:spPr>
                          <a:xfrm>
                            <a:off x="0" y="0"/>
                            <a:ext cx="2443480" cy="162750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Ex>
        <w:trPr>
          <w:trHeight w:val="284" w:hRule="atLeast"/>
        </w:trPr>
        <w:tc>
          <w:tcPr>
            <w:tcW w:w="4144" w:type="dxa"/>
            <w:vAlign w:val="center"/>
          </w:tcPr>
          <w:p>
            <w:pPr>
              <w:pStyle w:val="3"/>
              <w:wordWrap w:val="0"/>
              <w:jc w:val="right"/>
              <w:rPr>
                <w:rFonts w:ascii="微软雅黑" w:hAnsi="微软雅黑" w:eastAsia="微软雅黑"/>
                <w:sz w:val="18"/>
                <w:szCs w:val="18"/>
              </w:rPr>
            </w:pPr>
            <w:r>
              <w:rPr>
                <w:rFonts w:hint="eastAsia" w:ascii="微软雅黑" w:hAnsi="微软雅黑" w:eastAsia="微软雅黑"/>
                <w:b/>
                <w:sz w:val="15"/>
                <w:szCs w:val="15"/>
              </w:rPr>
              <w:t xml:space="preserve">  </w:t>
            </w:r>
            <w:r>
              <w:rPr>
                <w:rFonts w:ascii="微软雅黑" w:hAnsi="微软雅黑" w:eastAsia="微软雅黑"/>
                <w:b/>
                <w:sz w:val="15"/>
                <w:szCs w:val="15"/>
              </w:rPr>
              <w:t xml:space="preserve">             </w:t>
            </w:r>
          </w:p>
        </w:tc>
        <w:tc>
          <w:tcPr>
            <w:tcW w:w="4064" w:type="dxa"/>
            <w:vAlign w:val="center"/>
          </w:tcPr>
          <w:p>
            <w:pPr>
              <w:pStyle w:val="3"/>
              <w:jc w:val="right"/>
              <w:rPr>
                <w:rFonts w:ascii="微软雅黑" w:hAnsi="微软雅黑" w:eastAsia="微软雅黑"/>
                <w:sz w:val="18"/>
                <w:szCs w:val="18"/>
              </w:rPr>
            </w:pPr>
            <w:r>
              <w:rPr>
                <w:rFonts w:hint="eastAsia" w:ascii="微软雅黑" w:hAnsi="微软雅黑" w:eastAsia="微软雅黑"/>
                <w:b/>
                <w:sz w:val="15"/>
                <w:szCs w:val="15"/>
              </w:rPr>
              <w:t>数据来源：iFind、兴业期货研究咨询部</w:t>
            </w:r>
          </w:p>
        </w:tc>
      </w:tr>
    </w:tbl>
    <w:p>
      <w:pPr>
        <w:spacing w:line="400" w:lineRule="exact"/>
        <w:rPr>
          <w:rFonts w:ascii="微软雅黑" w:hAnsi="微软雅黑" w:eastAsia="微软雅黑"/>
          <w:bCs/>
          <w:sz w:val="24"/>
          <w:szCs w:val="24"/>
        </w:rPr>
      </w:pPr>
    </w:p>
    <w:p>
      <w:pPr>
        <w:spacing w:line="400" w:lineRule="exact"/>
        <w:ind w:firstLine="480" w:firstLineChars="200"/>
        <w:rPr>
          <w:rFonts w:ascii="微软雅黑" w:hAnsi="微软雅黑" w:eastAsia="微软雅黑"/>
          <w:bCs/>
          <w:sz w:val="24"/>
          <w:szCs w:val="24"/>
        </w:rPr>
      </w:pPr>
      <w:r>
        <w:rPr>
          <w:rFonts w:hint="eastAsia" w:ascii="微软雅黑" w:hAnsi="微软雅黑" w:eastAsia="微软雅黑"/>
          <w:bCs/>
          <w:sz w:val="24"/>
          <w:szCs w:val="24"/>
        </w:rPr>
        <w:t xml:space="preserve">2019年上半年氧化铝表现并不平静。1-4月，一方面，河南、山西、内蒙等北方地区因采暖季期间天然气供应紧张，导致氧化铝生产受影响；另一方面，矿石供应紧张及成本控制问题困扰着氧化铝企业，减产成为企业首选，产能利用率及开工率双双出现下滑。然因国内氧化铝产能相对过剩，氧化铝价格持续走低，并未受到减产提振。 </w:t>
      </w:r>
    </w:p>
    <w:p>
      <w:pPr>
        <w:spacing w:line="400" w:lineRule="exact"/>
        <w:ind w:firstLine="480" w:firstLineChars="200"/>
        <w:rPr>
          <w:rFonts w:ascii="微软雅黑" w:hAnsi="微软雅黑" w:eastAsia="微软雅黑"/>
          <w:bCs/>
          <w:sz w:val="24"/>
          <w:szCs w:val="24"/>
        </w:rPr>
      </w:pPr>
      <w:r>
        <w:rPr>
          <w:rFonts w:hint="eastAsia" w:ascii="微软雅黑" w:hAnsi="微软雅黑" w:eastAsia="微软雅黑"/>
          <w:bCs/>
          <w:sz w:val="24"/>
          <w:szCs w:val="24"/>
        </w:rPr>
        <w:t>5月山西整改赤泥泄露问题打破了氧化铝供应过剩僵局，山西氧化铝价格自2660元/吨上涨至3170元/吨的高位，企业盈利获得明显改善，这将促进环保影响不大的企业加快产能复苏。据了解，当前山西仅交口信发仍受环保影响外，其他企业基本恢复生产。</w:t>
      </w:r>
    </w:p>
    <w:tbl>
      <w:tblPr>
        <w:tblStyle w:val="7"/>
        <w:tblW w:w="8208" w:type="dxa"/>
        <w:tblInd w:w="109" w:type="dxa"/>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
      <w:tblGrid>
        <w:gridCol w:w="4144"/>
        <w:gridCol w:w="4064"/>
      </w:tblGrid>
      <w:tr>
        <w:tblPrEx>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Ex>
        <w:trPr>
          <w:trHeight w:val="284" w:hRule="atLeast"/>
        </w:trPr>
        <w:tc>
          <w:tcPr>
            <w:tcW w:w="4144" w:type="dxa"/>
            <w:vAlign w:val="center"/>
          </w:tcPr>
          <w:p>
            <w:pPr>
              <w:pStyle w:val="3"/>
              <w:rPr>
                <w:rFonts w:ascii="微软雅黑" w:hAnsi="微软雅黑" w:eastAsia="微软雅黑"/>
                <w:sz w:val="21"/>
                <w:szCs w:val="21"/>
              </w:rPr>
            </w:pPr>
            <w:r>
              <w:rPr>
                <w:rFonts w:hint="eastAsia" w:ascii="微软雅黑" w:hAnsi="微软雅黑" w:eastAsia="微软雅黑"/>
                <w:sz w:val="21"/>
                <w:szCs w:val="21"/>
              </w:rPr>
              <w:t>图28上半年氧化铝价格走势先抑后扬</w:t>
            </w:r>
          </w:p>
        </w:tc>
        <w:tc>
          <w:tcPr>
            <w:tcW w:w="4064" w:type="dxa"/>
            <w:vAlign w:val="center"/>
          </w:tcPr>
          <w:p>
            <w:pPr>
              <w:pStyle w:val="3"/>
              <w:rPr>
                <w:rFonts w:ascii="微软雅黑" w:hAnsi="微软雅黑" w:eastAsia="微软雅黑"/>
                <w:sz w:val="21"/>
                <w:szCs w:val="21"/>
              </w:rPr>
            </w:pPr>
            <w:r>
              <w:rPr>
                <w:rFonts w:hint="eastAsia" w:ascii="微软雅黑" w:hAnsi="微软雅黑" w:eastAsia="微软雅黑"/>
                <w:sz w:val="21"/>
                <w:szCs w:val="21"/>
              </w:rPr>
              <w:t>图29</w:t>
            </w:r>
            <w:r>
              <w:rPr>
                <w:rFonts w:ascii="微软雅黑" w:hAnsi="微软雅黑" w:eastAsia="微软雅黑"/>
                <w:sz w:val="21"/>
                <w:szCs w:val="21"/>
              </w:rPr>
              <w:t xml:space="preserve"> </w:t>
            </w:r>
            <w:r>
              <w:rPr>
                <w:rFonts w:hint="eastAsia" w:ascii="微软雅黑" w:hAnsi="微软雅黑" w:eastAsia="微软雅黑"/>
                <w:sz w:val="18"/>
                <w:szCs w:val="21"/>
              </w:rPr>
              <w:t>上半年氧化铝产能利用率及开工率走低</w:t>
            </w:r>
          </w:p>
        </w:tc>
      </w:tr>
      <w:tr>
        <w:tblPrEx>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Ex>
        <w:trPr>
          <w:trHeight w:val="284" w:hRule="atLeast"/>
        </w:trPr>
        <w:tc>
          <w:tcPr>
            <w:tcW w:w="4144" w:type="dxa"/>
            <w:vAlign w:val="center"/>
          </w:tcPr>
          <w:p>
            <w:pPr>
              <w:ind w:right="-105" w:rightChars="-50"/>
              <w:rPr>
                <w:rFonts w:ascii="微软雅黑" w:hAnsi="微软雅黑" w:eastAsia="微软雅黑"/>
                <w:szCs w:val="21"/>
              </w:rPr>
            </w:pPr>
            <w:r>
              <w:drawing>
                <wp:inline distT="0" distB="0" distL="0" distR="0">
                  <wp:extent cx="2494280" cy="1664335"/>
                  <wp:effectExtent l="0" t="0" r="127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31"/>
                          <a:stretch>
                            <a:fillRect/>
                          </a:stretch>
                        </pic:blipFill>
                        <pic:spPr>
                          <a:xfrm>
                            <a:off x="0" y="0"/>
                            <a:ext cx="2494280" cy="1664335"/>
                          </a:xfrm>
                          <a:prstGeom prst="rect">
                            <a:avLst/>
                          </a:prstGeom>
                        </pic:spPr>
                      </pic:pic>
                    </a:graphicData>
                  </a:graphic>
                </wp:inline>
              </w:drawing>
            </w:r>
          </w:p>
        </w:tc>
        <w:tc>
          <w:tcPr>
            <w:tcW w:w="4064" w:type="dxa"/>
            <w:vAlign w:val="center"/>
          </w:tcPr>
          <w:p>
            <w:pPr>
              <w:rPr>
                <w:b/>
                <w:bCs/>
              </w:rPr>
            </w:pPr>
            <w:r>
              <w:drawing>
                <wp:inline distT="0" distB="0" distL="0" distR="0">
                  <wp:extent cx="2443480" cy="162750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pic:cNvPicPr>
                        </pic:nvPicPr>
                        <pic:blipFill>
                          <a:blip r:embed="rId32"/>
                          <a:stretch>
                            <a:fillRect/>
                          </a:stretch>
                        </pic:blipFill>
                        <pic:spPr>
                          <a:xfrm>
                            <a:off x="0" y="0"/>
                            <a:ext cx="2443480" cy="162750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Ex>
        <w:trPr>
          <w:trHeight w:val="284" w:hRule="atLeast"/>
        </w:trPr>
        <w:tc>
          <w:tcPr>
            <w:tcW w:w="4144" w:type="dxa"/>
            <w:vAlign w:val="center"/>
          </w:tcPr>
          <w:p>
            <w:pPr>
              <w:pStyle w:val="3"/>
              <w:wordWrap w:val="0"/>
              <w:jc w:val="right"/>
              <w:rPr>
                <w:rFonts w:ascii="微软雅黑" w:hAnsi="微软雅黑" w:eastAsia="微软雅黑"/>
                <w:sz w:val="18"/>
                <w:szCs w:val="18"/>
              </w:rPr>
            </w:pPr>
            <w:r>
              <w:rPr>
                <w:rFonts w:hint="eastAsia" w:ascii="微软雅黑" w:hAnsi="微软雅黑" w:eastAsia="微软雅黑"/>
                <w:b/>
                <w:sz w:val="15"/>
                <w:szCs w:val="15"/>
              </w:rPr>
              <w:t xml:space="preserve">  </w:t>
            </w:r>
            <w:r>
              <w:rPr>
                <w:rFonts w:ascii="微软雅黑" w:hAnsi="微软雅黑" w:eastAsia="微软雅黑"/>
                <w:b/>
                <w:sz w:val="15"/>
                <w:szCs w:val="15"/>
              </w:rPr>
              <w:t xml:space="preserve">             </w:t>
            </w:r>
          </w:p>
        </w:tc>
        <w:tc>
          <w:tcPr>
            <w:tcW w:w="4064" w:type="dxa"/>
            <w:vAlign w:val="center"/>
          </w:tcPr>
          <w:p>
            <w:pPr>
              <w:pStyle w:val="3"/>
              <w:jc w:val="right"/>
              <w:rPr>
                <w:rFonts w:ascii="微软雅黑" w:hAnsi="微软雅黑" w:eastAsia="微软雅黑"/>
                <w:sz w:val="18"/>
                <w:szCs w:val="18"/>
              </w:rPr>
            </w:pPr>
            <w:r>
              <w:rPr>
                <w:rFonts w:hint="eastAsia" w:ascii="微软雅黑" w:hAnsi="微软雅黑" w:eastAsia="微软雅黑"/>
                <w:b/>
                <w:sz w:val="15"/>
                <w:szCs w:val="15"/>
              </w:rPr>
              <w:t>数据来源：iFind、兴业期货研究咨询部</w:t>
            </w:r>
          </w:p>
        </w:tc>
      </w:tr>
    </w:tbl>
    <w:p>
      <w:pPr>
        <w:spacing w:line="400" w:lineRule="exact"/>
        <w:ind w:firstLine="480" w:firstLineChars="200"/>
        <w:rPr>
          <w:rFonts w:ascii="微软雅黑" w:hAnsi="微软雅黑" w:eastAsia="微软雅黑"/>
          <w:bCs/>
          <w:sz w:val="24"/>
          <w:szCs w:val="24"/>
        </w:rPr>
      </w:pPr>
    </w:p>
    <w:p>
      <w:pPr>
        <w:spacing w:line="400" w:lineRule="exact"/>
        <w:ind w:firstLine="480" w:firstLineChars="200"/>
        <w:rPr>
          <w:rFonts w:ascii="微软雅黑" w:hAnsi="微软雅黑" w:eastAsia="微软雅黑"/>
          <w:bCs/>
          <w:sz w:val="24"/>
          <w:szCs w:val="24"/>
        </w:rPr>
      </w:pPr>
      <w:r>
        <w:rPr>
          <w:rFonts w:hint="eastAsia" w:ascii="微软雅黑" w:hAnsi="微软雅黑" w:eastAsia="微软雅黑"/>
          <w:bCs/>
          <w:sz w:val="24"/>
          <w:szCs w:val="24"/>
        </w:rPr>
        <w:t xml:space="preserve">2019年5月20日，挪威海德鲁公司表示，已获得巴西联邦法院的许可，全面重启全球最大氧化铝厂产能，预计在两个月内达到 75-85%的利用率。这一消息公布意味着留给国内氧化铝企业出口时间已经不多了。 </w:t>
      </w:r>
    </w:p>
    <w:p>
      <w:pPr>
        <w:spacing w:line="400" w:lineRule="exact"/>
        <w:ind w:firstLine="480" w:firstLineChars="200"/>
        <w:rPr>
          <w:rFonts w:ascii="微软雅黑" w:hAnsi="微软雅黑" w:eastAsia="微软雅黑"/>
          <w:bCs/>
          <w:sz w:val="24"/>
          <w:szCs w:val="24"/>
        </w:rPr>
      </w:pPr>
      <w:r>
        <w:rPr>
          <w:rFonts w:hint="eastAsia" w:ascii="微软雅黑" w:hAnsi="微软雅黑" w:eastAsia="微软雅黑"/>
          <w:bCs/>
          <w:sz w:val="24"/>
          <w:szCs w:val="24"/>
        </w:rPr>
        <w:t>自去年4月海德鲁因赤泥污染问题导致海外氧化铝供应出现短缺，澳大利亚氧化铝FOB价格强力回升，这为国内氧化铝开启了出口盈利之窗，出口增速持续攀升，至2019年1月高达3390%。但预计7月后海德鲁将恢复部分产能，而作为全球最大氧化铝生产商，其复产将为海外氧化铝市场提供充裕的增量从而导致价格进一步下移。对国内的影响就是导致出口盈利不断收窄直至无空间，倒逼企业减少出口甚至鉴于成本优势而考虑进口，即通过贸易再平衡对国内氧化铝价格形成拖累。</w:t>
      </w:r>
    </w:p>
    <w:tbl>
      <w:tblPr>
        <w:tblStyle w:val="7"/>
        <w:tblW w:w="8208" w:type="dxa"/>
        <w:tblInd w:w="109" w:type="dxa"/>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
      <w:tblGrid>
        <w:gridCol w:w="4104"/>
        <w:gridCol w:w="4104"/>
      </w:tblGrid>
      <w:tr>
        <w:tblPrEx>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Ex>
        <w:trPr>
          <w:trHeight w:val="284" w:hRule="atLeast"/>
        </w:trPr>
        <w:tc>
          <w:tcPr>
            <w:tcW w:w="4104" w:type="dxa"/>
            <w:vAlign w:val="center"/>
          </w:tcPr>
          <w:p>
            <w:pPr>
              <w:pStyle w:val="3"/>
              <w:rPr>
                <w:rFonts w:ascii="微软雅黑" w:hAnsi="微软雅黑" w:eastAsia="微软雅黑"/>
                <w:sz w:val="21"/>
                <w:szCs w:val="21"/>
              </w:rPr>
            </w:pPr>
            <w:r>
              <w:rPr>
                <w:rFonts w:hint="eastAsia" w:ascii="微软雅黑" w:hAnsi="微软雅黑" w:eastAsia="微软雅黑"/>
                <w:sz w:val="21"/>
                <w:szCs w:val="21"/>
              </w:rPr>
              <w:t>图30</w:t>
            </w:r>
            <w:r>
              <w:rPr>
                <w:rFonts w:hint="eastAsia" w:ascii="微软雅黑" w:hAnsi="微软雅黑" w:eastAsia="微软雅黑"/>
                <w:sz w:val="18"/>
                <w:szCs w:val="21"/>
              </w:rPr>
              <w:t>海德鲁即将复产，国内高出口增速难维持</w:t>
            </w:r>
          </w:p>
        </w:tc>
        <w:tc>
          <w:tcPr>
            <w:tcW w:w="4104" w:type="dxa"/>
            <w:vAlign w:val="center"/>
          </w:tcPr>
          <w:p>
            <w:pPr>
              <w:pStyle w:val="3"/>
              <w:rPr>
                <w:rFonts w:ascii="微软雅黑" w:hAnsi="微软雅黑" w:eastAsia="微软雅黑"/>
                <w:sz w:val="21"/>
                <w:szCs w:val="21"/>
              </w:rPr>
            </w:pPr>
            <w:r>
              <w:rPr>
                <w:rFonts w:hint="eastAsia" w:ascii="微软雅黑" w:hAnsi="微软雅黑" w:eastAsia="微软雅黑"/>
                <w:sz w:val="21"/>
                <w:szCs w:val="21"/>
              </w:rPr>
              <w:t>图31</w:t>
            </w:r>
            <w:r>
              <w:rPr>
                <w:rFonts w:hint="eastAsia" w:ascii="微软雅黑" w:hAnsi="微软雅黑" w:eastAsia="微软雅黑"/>
                <w:sz w:val="18"/>
                <w:szCs w:val="21"/>
              </w:rPr>
              <w:t>海外氧化铝将对国内氧化铝价格形成冲击</w:t>
            </w:r>
          </w:p>
        </w:tc>
      </w:tr>
      <w:tr>
        <w:tblPrEx>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Ex>
        <w:trPr>
          <w:trHeight w:val="284" w:hRule="atLeast"/>
        </w:trPr>
        <w:tc>
          <w:tcPr>
            <w:tcW w:w="4104" w:type="dxa"/>
            <w:vAlign w:val="center"/>
          </w:tcPr>
          <w:p>
            <w:pPr>
              <w:ind w:right="-105" w:rightChars="-50"/>
              <w:rPr>
                <w:rFonts w:ascii="微软雅黑" w:hAnsi="微软雅黑" w:eastAsia="微软雅黑"/>
                <w:szCs w:val="21"/>
              </w:rPr>
            </w:pPr>
            <w:r>
              <w:drawing>
                <wp:inline distT="0" distB="0" distL="0" distR="0">
                  <wp:extent cx="2466340" cy="164719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pic:cNvPicPr>
                        </pic:nvPicPr>
                        <pic:blipFill>
                          <a:blip r:embed="rId33"/>
                          <a:stretch>
                            <a:fillRect/>
                          </a:stretch>
                        </pic:blipFill>
                        <pic:spPr>
                          <a:xfrm>
                            <a:off x="0" y="0"/>
                            <a:ext cx="2466667" cy="1647619"/>
                          </a:xfrm>
                          <a:prstGeom prst="rect">
                            <a:avLst/>
                          </a:prstGeom>
                        </pic:spPr>
                      </pic:pic>
                    </a:graphicData>
                  </a:graphic>
                </wp:inline>
              </w:drawing>
            </w:r>
          </w:p>
        </w:tc>
        <w:tc>
          <w:tcPr>
            <w:tcW w:w="4104" w:type="dxa"/>
            <w:vAlign w:val="center"/>
          </w:tcPr>
          <w:p>
            <w:pPr>
              <w:rPr>
                <w:b/>
                <w:bCs/>
              </w:rPr>
            </w:pPr>
            <w:r>
              <w:drawing>
                <wp:inline distT="0" distB="0" distL="0" distR="0">
                  <wp:extent cx="2468880" cy="1644015"/>
                  <wp:effectExtent l="0" t="0" r="762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pic:cNvPicPr>
                        </pic:nvPicPr>
                        <pic:blipFill>
                          <a:blip r:embed="rId34"/>
                          <a:stretch>
                            <a:fillRect/>
                          </a:stretch>
                        </pic:blipFill>
                        <pic:spPr>
                          <a:xfrm>
                            <a:off x="0" y="0"/>
                            <a:ext cx="2468880" cy="164401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Ex>
        <w:trPr>
          <w:trHeight w:val="284" w:hRule="atLeast"/>
        </w:trPr>
        <w:tc>
          <w:tcPr>
            <w:tcW w:w="4104" w:type="dxa"/>
            <w:vAlign w:val="center"/>
          </w:tcPr>
          <w:p>
            <w:pPr>
              <w:pStyle w:val="3"/>
              <w:wordWrap w:val="0"/>
              <w:jc w:val="right"/>
              <w:rPr>
                <w:rFonts w:ascii="微软雅黑" w:hAnsi="微软雅黑" w:eastAsia="微软雅黑"/>
                <w:sz w:val="18"/>
                <w:szCs w:val="18"/>
              </w:rPr>
            </w:pPr>
            <w:r>
              <w:rPr>
                <w:rFonts w:hint="eastAsia" w:ascii="微软雅黑" w:hAnsi="微软雅黑" w:eastAsia="微软雅黑"/>
                <w:b/>
                <w:sz w:val="15"/>
                <w:szCs w:val="15"/>
              </w:rPr>
              <w:t xml:space="preserve">  </w:t>
            </w:r>
            <w:r>
              <w:rPr>
                <w:rFonts w:ascii="微软雅黑" w:hAnsi="微软雅黑" w:eastAsia="微软雅黑"/>
                <w:b/>
                <w:sz w:val="15"/>
                <w:szCs w:val="15"/>
              </w:rPr>
              <w:t xml:space="preserve">             </w:t>
            </w:r>
          </w:p>
        </w:tc>
        <w:tc>
          <w:tcPr>
            <w:tcW w:w="4104" w:type="dxa"/>
            <w:vAlign w:val="center"/>
          </w:tcPr>
          <w:p>
            <w:pPr>
              <w:pStyle w:val="3"/>
              <w:jc w:val="right"/>
              <w:rPr>
                <w:rFonts w:ascii="微软雅黑" w:hAnsi="微软雅黑" w:eastAsia="微软雅黑"/>
                <w:sz w:val="18"/>
                <w:szCs w:val="18"/>
              </w:rPr>
            </w:pPr>
            <w:r>
              <w:rPr>
                <w:rFonts w:hint="eastAsia" w:ascii="微软雅黑" w:hAnsi="微软雅黑" w:eastAsia="微软雅黑"/>
                <w:b/>
                <w:sz w:val="15"/>
                <w:szCs w:val="15"/>
              </w:rPr>
              <w:t>数据来源：i</w:t>
            </w:r>
            <w:r>
              <w:rPr>
                <w:rFonts w:ascii="微软雅黑" w:hAnsi="微软雅黑" w:eastAsia="微软雅黑"/>
                <w:b/>
                <w:sz w:val="15"/>
                <w:szCs w:val="15"/>
              </w:rPr>
              <w:t>Find</w:t>
            </w:r>
            <w:r>
              <w:rPr>
                <w:rFonts w:hint="eastAsia" w:ascii="微软雅黑" w:hAnsi="微软雅黑" w:eastAsia="微软雅黑"/>
                <w:b/>
                <w:sz w:val="15"/>
                <w:szCs w:val="15"/>
              </w:rPr>
              <w:t>、兴业期货研究咨询部</w:t>
            </w:r>
          </w:p>
        </w:tc>
      </w:tr>
    </w:tbl>
    <w:p>
      <w:pPr>
        <w:spacing w:line="400" w:lineRule="exact"/>
        <w:ind w:firstLine="480" w:firstLineChars="200"/>
        <w:rPr>
          <w:rFonts w:ascii="微软雅黑" w:hAnsi="微软雅黑" w:eastAsia="微软雅黑"/>
          <w:bCs/>
          <w:sz w:val="24"/>
          <w:szCs w:val="24"/>
        </w:rPr>
      </w:pPr>
    </w:p>
    <w:tbl>
      <w:tblPr>
        <w:tblStyle w:val="7"/>
        <w:tblW w:w="8208" w:type="dxa"/>
        <w:tblInd w:w="109" w:type="dxa"/>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
      <w:tblGrid>
        <w:gridCol w:w="4104"/>
        <w:gridCol w:w="4104"/>
      </w:tblGrid>
      <w:tr>
        <w:tblPrEx>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Ex>
        <w:trPr>
          <w:trHeight w:val="284" w:hRule="atLeast"/>
        </w:trPr>
        <w:tc>
          <w:tcPr>
            <w:tcW w:w="4104" w:type="dxa"/>
            <w:vAlign w:val="center"/>
          </w:tcPr>
          <w:p>
            <w:pPr>
              <w:pStyle w:val="3"/>
              <w:rPr>
                <w:rFonts w:ascii="微软雅黑" w:hAnsi="微软雅黑" w:eastAsia="微软雅黑"/>
                <w:sz w:val="21"/>
                <w:szCs w:val="21"/>
              </w:rPr>
            </w:pPr>
            <w:r>
              <w:rPr>
                <w:rFonts w:hint="eastAsia" w:ascii="微软雅黑" w:hAnsi="微软雅黑" w:eastAsia="微软雅黑"/>
                <w:sz w:val="21"/>
                <w:szCs w:val="21"/>
              </w:rPr>
              <w:t>图32</w:t>
            </w:r>
            <w:r>
              <w:rPr>
                <w:rFonts w:hint="eastAsia" w:ascii="微软雅黑" w:hAnsi="微软雅黑" w:eastAsia="微软雅黑"/>
                <w:sz w:val="18"/>
                <w:szCs w:val="21"/>
              </w:rPr>
              <w:t>山西赤泥整改对全国氧化铝短缺</w:t>
            </w:r>
          </w:p>
        </w:tc>
        <w:tc>
          <w:tcPr>
            <w:tcW w:w="4104" w:type="dxa"/>
            <w:vAlign w:val="center"/>
          </w:tcPr>
          <w:p>
            <w:pPr>
              <w:pStyle w:val="3"/>
              <w:rPr>
                <w:rFonts w:ascii="微软雅黑" w:hAnsi="微软雅黑" w:eastAsia="微软雅黑"/>
                <w:sz w:val="21"/>
                <w:szCs w:val="21"/>
              </w:rPr>
            </w:pPr>
            <w:r>
              <w:rPr>
                <w:rFonts w:hint="eastAsia" w:ascii="微软雅黑" w:hAnsi="微软雅黑" w:eastAsia="微软雅黑"/>
                <w:sz w:val="21"/>
                <w:szCs w:val="21"/>
              </w:rPr>
              <w:t>图33</w:t>
            </w:r>
            <w:r>
              <w:rPr>
                <w:rFonts w:ascii="微软雅黑" w:hAnsi="微软雅黑" w:eastAsia="微软雅黑"/>
                <w:sz w:val="21"/>
                <w:szCs w:val="21"/>
              </w:rPr>
              <w:t xml:space="preserve"> </w:t>
            </w:r>
            <w:r>
              <w:rPr>
                <w:rFonts w:hint="eastAsia" w:ascii="微软雅黑" w:hAnsi="微软雅黑" w:eastAsia="微软雅黑"/>
                <w:sz w:val="21"/>
                <w:szCs w:val="21"/>
              </w:rPr>
              <w:t>成本下移对</w:t>
            </w:r>
            <w:r>
              <w:rPr>
                <w:rFonts w:ascii="微软雅黑" w:hAnsi="微软雅黑" w:eastAsia="微软雅黑"/>
                <w:sz w:val="21"/>
                <w:szCs w:val="21"/>
              </w:rPr>
              <w:t>铝价支撑减弱</w:t>
            </w:r>
          </w:p>
        </w:tc>
      </w:tr>
      <w:tr>
        <w:tblPrEx>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Ex>
        <w:trPr>
          <w:trHeight w:val="284" w:hRule="atLeast"/>
        </w:trPr>
        <w:tc>
          <w:tcPr>
            <w:tcW w:w="4104" w:type="dxa"/>
            <w:vAlign w:val="center"/>
          </w:tcPr>
          <w:p>
            <w:pPr>
              <w:ind w:right="-105" w:rightChars="-50"/>
              <w:rPr>
                <w:rFonts w:ascii="微软雅黑" w:hAnsi="微软雅黑" w:eastAsia="微软雅黑"/>
                <w:szCs w:val="21"/>
              </w:rPr>
            </w:pPr>
            <w:r>
              <w:drawing>
                <wp:inline distT="0" distB="0" distL="0" distR="0">
                  <wp:extent cx="2468880" cy="1644015"/>
                  <wp:effectExtent l="0" t="0" r="762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pic:cNvPicPr>
                        </pic:nvPicPr>
                        <pic:blipFill>
                          <a:blip r:embed="rId35"/>
                          <a:stretch>
                            <a:fillRect/>
                          </a:stretch>
                        </pic:blipFill>
                        <pic:spPr>
                          <a:xfrm>
                            <a:off x="0" y="0"/>
                            <a:ext cx="2468880" cy="1644015"/>
                          </a:xfrm>
                          <a:prstGeom prst="rect">
                            <a:avLst/>
                          </a:prstGeom>
                        </pic:spPr>
                      </pic:pic>
                    </a:graphicData>
                  </a:graphic>
                </wp:inline>
              </w:drawing>
            </w:r>
          </w:p>
        </w:tc>
        <w:tc>
          <w:tcPr>
            <w:tcW w:w="4104" w:type="dxa"/>
            <w:vAlign w:val="center"/>
          </w:tcPr>
          <w:p>
            <w:pPr>
              <w:rPr>
                <w:b/>
                <w:bCs/>
              </w:rPr>
            </w:pPr>
            <w:r>
              <w:drawing>
                <wp:inline distT="0" distB="0" distL="0" distR="0">
                  <wp:extent cx="2466975" cy="1647825"/>
                  <wp:effectExtent l="0" t="0" r="9525"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466975" cy="164782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Ex>
        <w:trPr>
          <w:trHeight w:val="284" w:hRule="atLeast"/>
        </w:trPr>
        <w:tc>
          <w:tcPr>
            <w:tcW w:w="4104" w:type="dxa"/>
            <w:vAlign w:val="center"/>
          </w:tcPr>
          <w:p>
            <w:pPr>
              <w:pStyle w:val="3"/>
              <w:wordWrap w:val="0"/>
              <w:jc w:val="right"/>
              <w:rPr>
                <w:rFonts w:ascii="微软雅黑" w:hAnsi="微软雅黑" w:eastAsia="微软雅黑"/>
                <w:sz w:val="18"/>
                <w:szCs w:val="18"/>
              </w:rPr>
            </w:pPr>
            <w:r>
              <w:rPr>
                <w:rFonts w:hint="eastAsia" w:ascii="微软雅黑" w:hAnsi="微软雅黑" w:eastAsia="微软雅黑"/>
                <w:b/>
                <w:sz w:val="15"/>
                <w:szCs w:val="15"/>
              </w:rPr>
              <w:t xml:space="preserve">  </w:t>
            </w:r>
            <w:r>
              <w:rPr>
                <w:rFonts w:ascii="微软雅黑" w:hAnsi="微软雅黑" w:eastAsia="微软雅黑"/>
                <w:b/>
                <w:sz w:val="15"/>
                <w:szCs w:val="15"/>
              </w:rPr>
              <w:t xml:space="preserve">             </w:t>
            </w:r>
          </w:p>
        </w:tc>
        <w:tc>
          <w:tcPr>
            <w:tcW w:w="4104" w:type="dxa"/>
            <w:vAlign w:val="center"/>
          </w:tcPr>
          <w:p>
            <w:pPr>
              <w:pStyle w:val="3"/>
              <w:jc w:val="right"/>
              <w:rPr>
                <w:rFonts w:ascii="微软雅黑" w:hAnsi="微软雅黑" w:eastAsia="微软雅黑"/>
                <w:sz w:val="18"/>
                <w:szCs w:val="18"/>
              </w:rPr>
            </w:pPr>
            <w:r>
              <w:rPr>
                <w:rFonts w:hint="eastAsia" w:ascii="微软雅黑" w:hAnsi="微软雅黑" w:eastAsia="微软雅黑"/>
                <w:b/>
                <w:sz w:val="15"/>
                <w:szCs w:val="15"/>
              </w:rPr>
              <w:t>数据来源：i</w:t>
            </w:r>
            <w:r>
              <w:rPr>
                <w:rFonts w:ascii="微软雅黑" w:hAnsi="微软雅黑" w:eastAsia="微软雅黑"/>
                <w:b/>
                <w:sz w:val="15"/>
                <w:szCs w:val="15"/>
              </w:rPr>
              <w:t>Find</w:t>
            </w:r>
            <w:r>
              <w:rPr>
                <w:rFonts w:hint="eastAsia" w:ascii="微软雅黑" w:hAnsi="微软雅黑" w:eastAsia="微软雅黑"/>
                <w:b/>
                <w:sz w:val="15"/>
                <w:szCs w:val="15"/>
              </w:rPr>
              <w:t>、兴业期货研究咨询部</w:t>
            </w:r>
          </w:p>
        </w:tc>
      </w:tr>
    </w:tbl>
    <w:p>
      <w:pPr>
        <w:spacing w:line="400" w:lineRule="exact"/>
        <w:ind w:firstLine="480" w:firstLineChars="200"/>
        <w:rPr>
          <w:rFonts w:ascii="微软雅黑" w:hAnsi="微软雅黑" w:eastAsia="微软雅黑"/>
          <w:bCs/>
          <w:sz w:val="24"/>
          <w:szCs w:val="24"/>
        </w:rPr>
      </w:pPr>
    </w:p>
    <w:p>
      <w:pPr>
        <w:pStyle w:val="2"/>
        <w:spacing w:before="31" w:beforeLines="10" w:after="0"/>
        <w:rPr>
          <w:rFonts w:ascii="微软雅黑" w:hAnsi="微软雅黑" w:eastAsia="微软雅黑"/>
          <w:sz w:val="24"/>
          <w:szCs w:val="24"/>
        </w:rPr>
      </w:pPr>
      <w:r>
        <w:rPr>
          <w:rFonts w:hint="eastAsia" w:ascii="微软雅黑" w:hAnsi="微软雅黑" w:eastAsia="微软雅黑"/>
          <w:sz w:val="24"/>
          <w:szCs w:val="24"/>
        </w:rPr>
        <w:t>D 产能投放增加供应压力</w:t>
      </w:r>
    </w:p>
    <w:p>
      <w:pPr>
        <w:spacing w:line="400" w:lineRule="exact"/>
        <w:ind w:firstLine="480" w:firstLineChars="200"/>
        <w:rPr>
          <w:rFonts w:ascii="微软雅黑" w:hAnsi="微软雅黑" w:eastAsia="微软雅黑"/>
          <w:bCs/>
          <w:sz w:val="24"/>
          <w:szCs w:val="24"/>
        </w:rPr>
      </w:pPr>
      <w:r>
        <w:rPr>
          <w:rFonts w:hint="eastAsia" w:ascii="微软雅黑" w:hAnsi="微软雅黑" w:eastAsia="微软雅黑"/>
          <w:bCs/>
          <w:sz w:val="24"/>
          <w:szCs w:val="24"/>
        </w:rPr>
        <w:t>2019年一季度电解铝新增产能释放缓慢，产量增速低迷，主要是铝企受资金压力以及成本高企等原因而延后原先计划投产的产能，然在国内宏观政策刺激下，电解铝消费超预期带动铝价持续攀升，铝企利润得以修复。原本延迟投产的产能在此档口加快投产，但山西赤泥污染引发的氧化铝价格持续攀升，再次打乱了铝企投产节奏，二季度产能投放速度依旧缓慢。据统计，2019年1-6月合计减产产能达110.5万吨。</w:t>
      </w:r>
    </w:p>
    <w:p>
      <w:pPr>
        <w:spacing w:line="400" w:lineRule="exact"/>
        <w:ind w:firstLine="480" w:firstLineChars="200"/>
        <w:rPr>
          <w:rFonts w:ascii="微软雅黑" w:hAnsi="微软雅黑" w:eastAsia="微软雅黑"/>
          <w:bCs/>
          <w:sz w:val="24"/>
          <w:szCs w:val="24"/>
        </w:rPr>
      </w:pPr>
      <w:r>
        <w:rPr>
          <w:rFonts w:hint="eastAsia" w:ascii="微软雅黑" w:hAnsi="微软雅黑" w:eastAsia="微软雅黑"/>
          <w:bCs/>
          <w:sz w:val="24"/>
          <w:szCs w:val="24"/>
        </w:rPr>
        <w:t>上半年铝企产能投放合计为118万吨，下半年仍有163万吨产能计划投产。氧化铝是占电解铝生产成本的40%，自6月至今氧化铝价格已回调近600元/吨，然我们预计下半年随着氧化铝产能投放以及海德鲁复产带来的供应压力较大，氧化铝价格仍存下行空间。国内铝企成本大概率随之下移，企业利润有望恢复。相比较而言，下半年成本压力小于上半年，对铝企产能投放的阻力也相对减小，预计下半年电解铝供应量将回升。</w:t>
      </w:r>
    </w:p>
    <w:tbl>
      <w:tblPr>
        <w:tblStyle w:val="7"/>
        <w:tblW w:w="8208" w:type="dxa"/>
        <w:tblInd w:w="109" w:type="dxa"/>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
      <w:tblGrid>
        <w:gridCol w:w="4104"/>
        <w:gridCol w:w="4104"/>
      </w:tblGrid>
      <w:tr>
        <w:tblPrEx>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Ex>
        <w:trPr>
          <w:trHeight w:val="284" w:hRule="atLeast"/>
        </w:trPr>
        <w:tc>
          <w:tcPr>
            <w:tcW w:w="4104" w:type="dxa"/>
            <w:vAlign w:val="center"/>
          </w:tcPr>
          <w:p>
            <w:pPr>
              <w:pStyle w:val="3"/>
              <w:rPr>
                <w:rFonts w:ascii="微软雅黑" w:hAnsi="微软雅黑" w:eastAsia="微软雅黑"/>
                <w:sz w:val="21"/>
                <w:szCs w:val="21"/>
              </w:rPr>
            </w:pPr>
            <w:r>
              <w:rPr>
                <w:rFonts w:hint="eastAsia" w:ascii="微软雅黑" w:hAnsi="微软雅黑" w:eastAsia="微软雅黑"/>
                <w:sz w:val="21"/>
                <w:szCs w:val="21"/>
              </w:rPr>
              <w:t>图34下半年计划投产产能合计163万吨</w:t>
            </w:r>
          </w:p>
        </w:tc>
        <w:tc>
          <w:tcPr>
            <w:tcW w:w="4104" w:type="dxa"/>
            <w:vAlign w:val="center"/>
          </w:tcPr>
          <w:p>
            <w:pPr>
              <w:pStyle w:val="3"/>
              <w:rPr>
                <w:rFonts w:ascii="微软雅黑" w:hAnsi="微软雅黑" w:eastAsia="微软雅黑"/>
                <w:sz w:val="21"/>
                <w:szCs w:val="21"/>
              </w:rPr>
            </w:pPr>
            <w:r>
              <w:rPr>
                <w:rFonts w:hint="eastAsia" w:ascii="微软雅黑" w:hAnsi="微软雅黑" w:eastAsia="微软雅黑"/>
                <w:sz w:val="21"/>
                <w:szCs w:val="21"/>
              </w:rPr>
              <w:t>图35</w:t>
            </w:r>
            <w:r>
              <w:rPr>
                <w:rFonts w:ascii="微软雅黑" w:hAnsi="微软雅黑" w:eastAsia="微软雅黑"/>
                <w:sz w:val="21"/>
                <w:szCs w:val="21"/>
              </w:rPr>
              <w:t xml:space="preserve"> </w:t>
            </w:r>
            <w:r>
              <w:rPr>
                <w:rFonts w:hint="eastAsia" w:ascii="微软雅黑" w:hAnsi="微软雅黑" w:eastAsia="微软雅黑"/>
                <w:sz w:val="21"/>
                <w:szCs w:val="21"/>
              </w:rPr>
              <w:t>铝锭库存开始累积</w:t>
            </w:r>
          </w:p>
        </w:tc>
      </w:tr>
      <w:tr>
        <w:tblPrEx>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Ex>
        <w:trPr>
          <w:trHeight w:val="284" w:hRule="atLeast"/>
        </w:trPr>
        <w:tc>
          <w:tcPr>
            <w:tcW w:w="4104" w:type="dxa"/>
            <w:vAlign w:val="center"/>
          </w:tcPr>
          <w:p>
            <w:pPr>
              <w:ind w:right="-105" w:rightChars="-50"/>
              <w:rPr>
                <w:rFonts w:ascii="微软雅黑" w:hAnsi="微软雅黑" w:eastAsia="微软雅黑"/>
                <w:szCs w:val="21"/>
              </w:rPr>
            </w:pPr>
            <w:r>
              <w:drawing>
                <wp:inline distT="0" distB="0" distL="0" distR="0">
                  <wp:extent cx="2468880" cy="1647190"/>
                  <wp:effectExtent l="0" t="0" r="762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pic:cNvPicPr>
                        </pic:nvPicPr>
                        <pic:blipFill>
                          <a:blip r:embed="rId37"/>
                          <a:stretch>
                            <a:fillRect/>
                          </a:stretch>
                        </pic:blipFill>
                        <pic:spPr>
                          <a:xfrm>
                            <a:off x="0" y="0"/>
                            <a:ext cx="2468880" cy="1647190"/>
                          </a:xfrm>
                          <a:prstGeom prst="rect">
                            <a:avLst/>
                          </a:prstGeom>
                        </pic:spPr>
                      </pic:pic>
                    </a:graphicData>
                  </a:graphic>
                </wp:inline>
              </w:drawing>
            </w:r>
          </w:p>
        </w:tc>
        <w:tc>
          <w:tcPr>
            <w:tcW w:w="4104" w:type="dxa"/>
            <w:vAlign w:val="center"/>
          </w:tcPr>
          <w:p>
            <w:pPr>
              <w:rPr>
                <w:b/>
                <w:bCs/>
              </w:rPr>
            </w:pPr>
            <w:r>
              <w:drawing>
                <wp:inline distT="0" distB="0" distL="0" distR="0">
                  <wp:extent cx="2468880" cy="1644015"/>
                  <wp:effectExtent l="0" t="0" r="762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38"/>
                          <a:stretch>
                            <a:fillRect/>
                          </a:stretch>
                        </pic:blipFill>
                        <pic:spPr>
                          <a:xfrm>
                            <a:off x="0" y="0"/>
                            <a:ext cx="2468880" cy="164401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single" w:color="4F81BD" w:sz="12" w:space="0"/>
            <w:insideV w:val="none" w:color="auto" w:sz="0" w:space="0"/>
          </w:tblBorders>
          <w:tblLayout w:type="fixed"/>
          <w:tblCellMar>
            <w:top w:w="0" w:type="dxa"/>
            <w:left w:w="108" w:type="dxa"/>
            <w:bottom w:w="0" w:type="dxa"/>
            <w:right w:w="108" w:type="dxa"/>
          </w:tblCellMar>
        </w:tblPrEx>
        <w:trPr>
          <w:trHeight w:val="284" w:hRule="atLeast"/>
        </w:trPr>
        <w:tc>
          <w:tcPr>
            <w:tcW w:w="4104" w:type="dxa"/>
            <w:vAlign w:val="center"/>
          </w:tcPr>
          <w:p>
            <w:pPr>
              <w:pStyle w:val="3"/>
              <w:wordWrap w:val="0"/>
              <w:jc w:val="right"/>
              <w:rPr>
                <w:rFonts w:ascii="微软雅黑" w:hAnsi="微软雅黑" w:eastAsia="微软雅黑"/>
                <w:sz w:val="18"/>
                <w:szCs w:val="18"/>
              </w:rPr>
            </w:pPr>
            <w:r>
              <w:rPr>
                <w:rFonts w:hint="eastAsia" w:ascii="微软雅黑" w:hAnsi="微软雅黑" w:eastAsia="微软雅黑"/>
                <w:b/>
                <w:sz w:val="15"/>
                <w:szCs w:val="15"/>
              </w:rPr>
              <w:t xml:space="preserve">  </w:t>
            </w:r>
            <w:r>
              <w:rPr>
                <w:rFonts w:ascii="微软雅黑" w:hAnsi="微软雅黑" w:eastAsia="微软雅黑"/>
                <w:b/>
                <w:sz w:val="15"/>
                <w:szCs w:val="15"/>
              </w:rPr>
              <w:t xml:space="preserve">             </w:t>
            </w:r>
          </w:p>
        </w:tc>
        <w:tc>
          <w:tcPr>
            <w:tcW w:w="4104" w:type="dxa"/>
            <w:vAlign w:val="center"/>
          </w:tcPr>
          <w:p>
            <w:pPr>
              <w:pStyle w:val="3"/>
              <w:jc w:val="right"/>
              <w:rPr>
                <w:rFonts w:ascii="微软雅黑" w:hAnsi="微软雅黑" w:eastAsia="微软雅黑"/>
                <w:sz w:val="18"/>
                <w:szCs w:val="18"/>
              </w:rPr>
            </w:pPr>
            <w:r>
              <w:rPr>
                <w:rFonts w:hint="eastAsia" w:ascii="微软雅黑" w:hAnsi="微软雅黑" w:eastAsia="微软雅黑"/>
                <w:b/>
                <w:sz w:val="15"/>
                <w:szCs w:val="15"/>
              </w:rPr>
              <w:t>数据来源：i</w:t>
            </w:r>
            <w:r>
              <w:rPr>
                <w:rFonts w:ascii="微软雅黑" w:hAnsi="微软雅黑" w:eastAsia="微软雅黑"/>
                <w:b/>
                <w:sz w:val="15"/>
                <w:szCs w:val="15"/>
              </w:rPr>
              <w:t>Find</w:t>
            </w:r>
            <w:r>
              <w:rPr>
                <w:rFonts w:hint="eastAsia" w:ascii="微软雅黑" w:hAnsi="微软雅黑" w:eastAsia="微软雅黑"/>
                <w:b/>
                <w:sz w:val="15"/>
                <w:szCs w:val="15"/>
              </w:rPr>
              <w:t>、兴业期货研究咨询部</w:t>
            </w:r>
          </w:p>
        </w:tc>
      </w:tr>
    </w:tbl>
    <w:p>
      <w:pPr>
        <w:jc w:val="right"/>
        <w:rPr>
          <w:rFonts w:ascii="微软雅黑" w:hAnsi="微软雅黑" w:eastAsia="微软雅黑"/>
          <w:b/>
          <w:sz w:val="20"/>
          <w:szCs w:val="15"/>
        </w:rPr>
      </w:pPr>
    </w:p>
    <w:p>
      <w:pPr>
        <w:jc w:val="right"/>
        <w:rPr>
          <w:rFonts w:ascii="微软雅黑" w:hAnsi="微软雅黑" w:eastAsia="微软雅黑"/>
          <w:b/>
          <w:sz w:val="20"/>
          <w:szCs w:val="15"/>
        </w:rPr>
      </w:pPr>
      <w:r>
        <w:rPr>
          <w:rFonts w:hint="eastAsia" w:ascii="微软雅黑" w:hAnsi="微软雅黑" w:eastAsia="微软雅黑"/>
          <w:b/>
          <w:sz w:val="20"/>
          <w:szCs w:val="15"/>
        </w:rPr>
        <w:t>兴业期货</w:t>
      </w:r>
      <w:r>
        <w:rPr>
          <w:rFonts w:ascii="微软雅黑" w:hAnsi="微软雅黑" w:eastAsia="微软雅黑"/>
          <w:b/>
          <w:sz w:val="20"/>
          <w:szCs w:val="15"/>
        </w:rPr>
        <w:t>有限公司</w:t>
      </w:r>
    </w:p>
    <w:p>
      <w:pPr>
        <w:jc w:val="right"/>
        <w:rPr>
          <w:rFonts w:ascii="微软雅黑" w:hAnsi="微软雅黑" w:eastAsia="微软雅黑"/>
          <w:b/>
          <w:sz w:val="20"/>
          <w:szCs w:val="15"/>
        </w:rPr>
      </w:pPr>
      <w:r>
        <w:rPr>
          <w:rFonts w:hint="eastAsia" w:ascii="微软雅黑" w:hAnsi="微软雅黑" w:eastAsia="微软雅黑"/>
          <w:b/>
          <w:sz w:val="20"/>
          <w:szCs w:val="15"/>
        </w:rPr>
        <w:t>联系人：樊丙婷</w:t>
      </w:r>
    </w:p>
    <w:p>
      <w:pPr>
        <w:jc w:val="right"/>
        <w:rPr>
          <w:rFonts w:ascii="微软雅黑" w:hAnsi="微软雅黑" w:eastAsia="微软雅黑"/>
          <w:b/>
          <w:sz w:val="20"/>
          <w:szCs w:val="15"/>
        </w:rPr>
      </w:pPr>
      <w:r>
        <w:rPr>
          <w:rFonts w:hint="eastAsia" w:ascii="微软雅黑" w:hAnsi="微软雅黑" w:eastAsia="微软雅黑"/>
          <w:b/>
          <w:sz w:val="20"/>
          <w:szCs w:val="15"/>
        </w:rPr>
        <w:t>从业资格证号：</w:t>
      </w:r>
      <w:r>
        <w:rPr>
          <w:rFonts w:ascii="微软雅黑" w:hAnsi="微软雅黑" w:eastAsia="微软雅黑"/>
          <w:b/>
          <w:sz w:val="20"/>
          <w:szCs w:val="15"/>
        </w:rPr>
        <w:t>F3046207</w:t>
      </w:r>
    </w:p>
    <w:p>
      <w:pPr>
        <w:jc w:val="right"/>
        <w:rPr>
          <w:rFonts w:ascii="微软雅黑" w:hAnsi="微软雅黑" w:eastAsia="微软雅黑"/>
          <w:b/>
          <w:sz w:val="20"/>
          <w:szCs w:val="15"/>
        </w:rPr>
      </w:pPr>
      <w:r>
        <w:rPr>
          <w:rFonts w:hint="eastAsia" w:ascii="微软雅黑" w:hAnsi="微软雅黑" w:eastAsia="微软雅黑"/>
          <w:b/>
          <w:sz w:val="20"/>
          <w:szCs w:val="15"/>
        </w:rPr>
        <w:t>Tel：</w:t>
      </w:r>
      <w:r>
        <w:rPr>
          <w:rFonts w:ascii="微软雅黑" w:hAnsi="微软雅黑" w:eastAsia="微软雅黑"/>
          <w:b/>
          <w:sz w:val="20"/>
          <w:szCs w:val="15"/>
        </w:rPr>
        <w:t>13262588557</w:t>
      </w:r>
    </w:p>
    <w:p>
      <w:pPr>
        <w:jc w:val="right"/>
        <w:rPr>
          <w:rFonts w:ascii="微软雅黑" w:hAnsi="微软雅黑" w:eastAsia="微软雅黑"/>
          <w:b/>
          <w:sz w:val="20"/>
          <w:szCs w:val="15"/>
        </w:rPr>
      </w:pPr>
      <w:r>
        <w:rPr>
          <w:rFonts w:hint="eastAsia" w:ascii="微软雅黑" w:hAnsi="微软雅黑" w:eastAsia="微软雅黑"/>
          <w:b/>
          <w:sz w:val="20"/>
          <w:szCs w:val="15"/>
        </w:rPr>
        <w:t>E-mail：</w:t>
      </w:r>
      <w:r>
        <w:fldChar w:fldCharType="begin"/>
      </w:r>
      <w:r>
        <w:instrText xml:space="preserve"> HYPERLINK "mailto:fanbt@cifutures.com.cn" </w:instrText>
      </w:r>
      <w:r>
        <w:fldChar w:fldCharType="separate"/>
      </w:r>
      <w:r>
        <w:rPr>
          <w:b/>
        </w:rPr>
        <w:t>fanbt</w:t>
      </w:r>
      <w:r>
        <w:rPr>
          <w:rFonts w:hint="eastAsia"/>
          <w:b/>
        </w:rPr>
        <w:t>@cifutures.com.cn</w:t>
      </w:r>
      <w:r>
        <w:rPr>
          <w:rFonts w:hint="eastAsia"/>
          <w:b/>
        </w:rPr>
        <w:fldChar w:fldCharType="end"/>
      </w:r>
    </w:p>
    <w:p>
      <w:pPr>
        <w:jc w:val="right"/>
        <w:rPr>
          <w:rFonts w:ascii="微软雅黑" w:hAnsi="微软雅黑" w:eastAsia="微软雅黑"/>
          <w:b/>
          <w:sz w:val="20"/>
          <w:szCs w:val="15"/>
        </w:rPr>
      </w:pPr>
      <w:r>
        <w:rPr>
          <w:rFonts w:hint="eastAsia" w:ascii="微软雅黑" w:hAnsi="微软雅黑" w:eastAsia="微软雅黑"/>
          <w:b/>
          <w:sz w:val="20"/>
          <w:szCs w:val="15"/>
        </w:rPr>
        <w:t>地址</w:t>
      </w:r>
      <w:r>
        <w:rPr>
          <w:rFonts w:ascii="微软雅黑" w:hAnsi="微软雅黑" w:eastAsia="微软雅黑"/>
          <w:b/>
          <w:sz w:val="20"/>
          <w:szCs w:val="15"/>
        </w:rPr>
        <w:t>：</w:t>
      </w:r>
      <w:r>
        <w:rPr>
          <w:rFonts w:hint="eastAsia" w:ascii="微软雅黑" w:hAnsi="微软雅黑" w:eastAsia="微软雅黑"/>
          <w:b/>
          <w:sz w:val="20"/>
          <w:szCs w:val="15"/>
        </w:rPr>
        <w:t>上海市浦东新区银城路</w:t>
      </w:r>
      <w:r>
        <w:rPr>
          <w:rFonts w:ascii="微软雅黑" w:hAnsi="微软雅黑" w:eastAsia="微软雅黑"/>
          <w:b/>
          <w:sz w:val="20"/>
          <w:szCs w:val="15"/>
        </w:rPr>
        <w:t>167</w:t>
      </w:r>
      <w:r>
        <w:rPr>
          <w:rFonts w:hint="eastAsia" w:ascii="微软雅黑" w:hAnsi="微软雅黑" w:eastAsia="微软雅黑"/>
          <w:b/>
          <w:sz w:val="20"/>
          <w:szCs w:val="15"/>
        </w:rPr>
        <w:t>号兴业大厦11楼</w:t>
      </w:r>
    </w:p>
    <w:p>
      <w:pPr>
        <w:spacing w:line="400" w:lineRule="exact"/>
        <w:rPr>
          <w:rFonts w:ascii="微软雅黑" w:hAnsi="微软雅黑" w:eastAsia="微软雅黑"/>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5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98D"/>
    <w:rsid w:val="0001080A"/>
    <w:rsid w:val="00086D80"/>
    <w:rsid w:val="000C4F5A"/>
    <w:rsid w:val="00215569"/>
    <w:rsid w:val="002414A5"/>
    <w:rsid w:val="002554D3"/>
    <w:rsid w:val="00322566"/>
    <w:rsid w:val="003B7C1A"/>
    <w:rsid w:val="00423585"/>
    <w:rsid w:val="00477DF7"/>
    <w:rsid w:val="005C1790"/>
    <w:rsid w:val="005C303A"/>
    <w:rsid w:val="006B60CA"/>
    <w:rsid w:val="007021AD"/>
    <w:rsid w:val="00732CBE"/>
    <w:rsid w:val="00762EBE"/>
    <w:rsid w:val="007E79E6"/>
    <w:rsid w:val="007F480F"/>
    <w:rsid w:val="008163EB"/>
    <w:rsid w:val="00866C4C"/>
    <w:rsid w:val="00872CB4"/>
    <w:rsid w:val="00883552"/>
    <w:rsid w:val="00897625"/>
    <w:rsid w:val="009C10E3"/>
    <w:rsid w:val="00A3119D"/>
    <w:rsid w:val="00A65A6D"/>
    <w:rsid w:val="00A70480"/>
    <w:rsid w:val="00AF498D"/>
    <w:rsid w:val="00BA17A5"/>
    <w:rsid w:val="00BB6FB8"/>
    <w:rsid w:val="00BD4689"/>
    <w:rsid w:val="00C52B8C"/>
    <w:rsid w:val="00CC144A"/>
    <w:rsid w:val="00DB4FC5"/>
    <w:rsid w:val="00E22338"/>
    <w:rsid w:val="00E45FB1"/>
    <w:rsid w:val="00F726FF"/>
    <w:rsid w:val="18C24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caption"/>
    <w:basedOn w:val="1"/>
    <w:next w:val="1"/>
    <w:qFormat/>
    <w:uiPriority w:val="35"/>
    <w:rPr>
      <w:rFonts w:ascii="Cambria" w:hAnsi="Cambria" w:eastAsia="黑体"/>
      <w:sz w:val="20"/>
      <w:szCs w:val="20"/>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character" w:styleId="9">
    <w:name w:val="Hyperlink"/>
    <w:basedOn w:val="8"/>
    <w:unhideWhenUsed/>
    <w:uiPriority w:val="99"/>
    <w:rPr>
      <w:color w:val="0563C1" w:themeColor="hyperlink"/>
      <w:u w:val="single"/>
      <w14:textFill>
        <w14:solidFill>
          <w14:schemeClr w14:val="hlink"/>
        </w14:solidFill>
      </w14:textFill>
    </w:rPr>
  </w:style>
  <w:style w:type="character" w:customStyle="1" w:styleId="10">
    <w:name w:val="页眉 Char"/>
    <w:basedOn w:val="8"/>
    <w:link w:val="5"/>
    <w:uiPriority w:val="99"/>
    <w:rPr>
      <w:sz w:val="18"/>
      <w:szCs w:val="18"/>
    </w:rPr>
  </w:style>
  <w:style w:type="character" w:customStyle="1" w:styleId="11">
    <w:name w:val="页脚 Char"/>
    <w:basedOn w:val="8"/>
    <w:link w:val="4"/>
    <w:uiPriority w:val="99"/>
    <w:rPr>
      <w:sz w:val="18"/>
      <w:szCs w:val="18"/>
    </w:rPr>
  </w:style>
  <w:style w:type="character" w:customStyle="1" w:styleId="12">
    <w:name w:val="标题 1 Char"/>
    <w:basedOn w:val="8"/>
    <w:link w:val="2"/>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0" Type="http://schemas.openxmlformats.org/officeDocument/2006/relationships/fontTable" Target="fontTable.xml"/><Relationship Id="rId4" Type="http://schemas.openxmlformats.org/officeDocument/2006/relationships/image" Target="media/image1.png"/><Relationship Id="rId39" Type="http://schemas.openxmlformats.org/officeDocument/2006/relationships/customXml" Target="../customXml/item1.xml"/><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1139</Words>
  <Characters>6496</Characters>
  <Lines>54</Lines>
  <Paragraphs>15</Paragraphs>
  <TotalTime>547</TotalTime>
  <ScaleCrop>false</ScaleCrop>
  <LinksUpToDate>false</LinksUpToDate>
  <CharactersWithSpaces>7620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2019-07-18T01:23:00Z</dcterms:created>
  <dc:creator>樊丙婷</dc:creator>
  <cp:lastModifiedBy>松鼠</cp:lastModifiedBy>
  <dcterms:modified xsi:type="dcterms:W3CDTF">2019-07-19T07:29:18Z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